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2CF91">
      <w:pPr>
        <w:spacing w:line="700" w:lineRule="exact"/>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项目名称：重庆自然博物馆室外停车场合作经营项目</w:t>
      </w:r>
    </w:p>
    <w:p w14:paraId="1211AE1E">
      <w:pPr>
        <w:ind w:firstLine="480"/>
        <w:jc w:val="center"/>
        <w:rPr>
          <w:rFonts w:hint="eastAsia" w:ascii="宋体" w:hAnsi="宋体" w:cs="宋体"/>
          <w:color w:val="000000" w:themeColor="text1"/>
          <w:highlight w:val="none"/>
          <w14:textFill>
            <w14:solidFill>
              <w14:schemeClr w14:val="tx1"/>
            </w14:solidFill>
          </w14:textFill>
        </w:rPr>
      </w:pPr>
    </w:p>
    <w:p w14:paraId="4B517077">
      <w:pPr>
        <w:ind w:left="480"/>
        <w:jc w:val="center"/>
        <w:rPr>
          <w:rFonts w:hint="eastAsia" w:ascii="宋体" w:hAnsi="宋体" w:cs="宋体"/>
          <w:color w:val="000000" w:themeColor="text1"/>
          <w:sz w:val="84"/>
          <w:szCs w:val="84"/>
          <w:highlight w:val="none"/>
          <w14:textFill>
            <w14:solidFill>
              <w14:schemeClr w14:val="tx1"/>
            </w14:solidFill>
          </w14:textFill>
        </w:rPr>
      </w:pPr>
    </w:p>
    <w:p w14:paraId="0E546E95">
      <w:pPr>
        <w:pStyle w:val="99"/>
        <w:rPr>
          <w:rFonts w:hint="eastAsia" w:ascii="宋体" w:hAnsi="宋体" w:eastAsia="宋体" w:cs="宋体"/>
          <w:color w:val="000000" w:themeColor="text1"/>
          <w:highlight w:val="none"/>
          <w14:textFill>
            <w14:solidFill>
              <w14:schemeClr w14:val="tx1"/>
            </w14:solidFill>
          </w14:textFill>
        </w:rPr>
      </w:pPr>
    </w:p>
    <w:p w14:paraId="58230C70">
      <w:pPr>
        <w:ind w:left="480"/>
        <w:jc w:val="center"/>
        <w:rPr>
          <w:rFonts w:hint="eastAsia" w:ascii="宋体" w:hAnsi="宋体" w:cs="宋体"/>
          <w:color w:val="000000" w:themeColor="text1"/>
          <w:sz w:val="96"/>
          <w:szCs w:val="84"/>
          <w:highlight w:val="none"/>
          <w14:textFill>
            <w14:solidFill>
              <w14:schemeClr w14:val="tx1"/>
            </w14:solidFill>
          </w14:textFill>
        </w:rPr>
      </w:pPr>
    </w:p>
    <w:p w14:paraId="53A11B5F">
      <w:pPr>
        <w:ind w:firstLine="480"/>
        <w:jc w:val="center"/>
        <w:rPr>
          <w:rFonts w:hint="eastAsia" w:ascii="宋体" w:hAnsi="宋体" w:cs="宋体"/>
          <w:color w:val="000000" w:themeColor="text1"/>
          <w:highlight w:val="none"/>
          <w14:textFill>
            <w14:solidFill>
              <w14:schemeClr w14:val="tx1"/>
            </w14:solidFill>
          </w14:textFill>
        </w:rPr>
      </w:pPr>
    </w:p>
    <w:p w14:paraId="66A400EC">
      <w:pPr>
        <w:spacing w:line="700" w:lineRule="exact"/>
        <w:ind w:firstLine="640"/>
        <w:jc w:val="center"/>
        <w:rPr>
          <w:rFonts w:hint="eastAsia" w:ascii="宋体" w:hAnsi="宋体" w:cs="宋体"/>
          <w:color w:val="000000" w:themeColor="text1"/>
          <w:sz w:val="32"/>
          <w:highlight w:val="none"/>
          <w14:textFill>
            <w14:solidFill>
              <w14:schemeClr w14:val="tx1"/>
            </w14:solidFill>
          </w14:textFill>
        </w:rPr>
      </w:pPr>
    </w:p>
    <w:p w14:paraId="3CC44FC7">
      <w:pPr>
        <w:spacing w:line="700" w:lineRule="exact"/>
        <w:jc w:val="center"/>
        <w:rPr>
          <w:rFonts w:hint="eastAsia" w:ascii="宋体" w:hAnsi="宋体" w:cs="宋体"/>
          <w:color w:val="000000" w:themeColor="text1"/>
          <w:sz w:val="52"/>
          <w:szCs w:val="52"/>
          <w:highlight w:val="none"/>
          <w14:textFill>
            <w14:solidFill>
              <w14:schemeClr w14:val="tx1"/>
            </w14:solidFill>
          </w14:textFill>
        </w:rPr>
      </w:pPr>
    </w:p>
    <w:p w14:paraId="52354A4D">
      <w:pPr>
        <w:spacing w:line="700" w:lineRule="exact"/>
        <w:jc w:val="center"/>
        <w:rPr>
          <w:rFonts w:hint="eastAsia" w:ascii="宋体" w:hAnsi="宋体" w:cs="宋体"/>
          <w:color w:val="000000" w:themeColor="text1"/>
          <w:sz w:val="52"/>
          <w:szCs w:val="52"/>
          <w:highlight w:val="none"/>
          <w14:textFill>
            <w14:solidFill>
              <w14:schemeClr w14:val="tx1"/>
            </w14:solidFill>
          </w14:textFill>
        </w:rPr>
      </w:pPr>
      <w:r>
        <w:rPr>
          <w:rFonts w:hint="eastAsia" w:ascii="宋体" w:hAnsi="宋体" w:cs="宋体"/>
          <w:color w:val="000000" w:themeColor="text1"/>
          <w:sz w:val="52"/>
          <w:szCs w:val="52"/>
          <w:highlight w:val="none"/>
          <w14:textFill>
            <w14:solidFill>
              <w14:schemeClr w14:val="tx1"/>
            </w14:solidFill>
          </w14:textFill>
        </w:rPr>
        <w:t>竞争性比选文件</w:t>
      </w:r>
    </w:p>
    <w:p w14:paraId="617050F9">
      <w:pPr>
        <w:spacing w:line="700" w:lineRule="exact"/>
        <w:ind w:firstLine="640"/>
        <w:jc w:val="center"/>
        <w:rPr>
          <w:rFonts w:hint="eastAsia" w:ascii="宋体" w:hAnsi="宋体" w:cs="宋体"/>
          <w:color w:val="000000" w:themeColor="text1"/>
          <w:sz w:val="32"/>
          <w:highlight w:val="none"/>
          <w14:textFill>
            <w14:solidFill>
              <w14:schemeClr w14:val="tx1"/>
            </w14:solidFill>
          </w14:textFill>
        </w:rPr>
      </w:pPr>
    </w:p>
    <w:p w14:paraId="2CDF5AF7">
      <w:pPr>
        <w:spacing w:line="700" w:lineRule="exact"/>
        <w:rPr>
          <w:rFonts w:hint="eastAsia" w:ascii="宋体" w:hAnsi="宋体" w:cs="宋体"/>
          <w:color w:val="000000" w:themeColor="text1"/>
          <w:sz w:val="32"/>
          <w:highlight w:val="none"/>
          <w14:textFill>
            <w14:solidFill>
              <w14:schemeClr w14:val="tx1"/>
            </w14:solidFill>
          </w14:textFill>
        </w:rPr>
      </w:pPr>
    </w:p>
    <w:p w14:paraId="0FB18EE6">
      <w:pPr>
        <w:spacing w:line="700" w:lineRule="exact"/>
        <w:rPr>
          <w:rFonts w:hint="eastAsia" w:ascii="宋体" w:hAnsi="宋体" w:cs="宋体"/>
          <w:color w:val="000000" w:themeColor="text1"/>
          <w:sz w:val="36"/>
          <w:szCs w:val="30"/>
          <w:highlight w:val="none"/>
          <w14:textFill>
            <w14:solidFill>
              <w14:schemeClr w14:val="tx1"/>
            </w14:solidFill>
          </w14:textFill>
        </w:rPr>
      </w:pPr>
    </w:p>
    <w:p w14:paraId="29C3C6E0">
      <w:pPr>
        <w:pStyle w:val="16"/>
        <w:rPr>
          <w:rFonts w:hint="eastAsia" w:ascii="宋体" w:hAnsi="宋体" w:cs="宋体"/>
          <w:color w:val="000000" w:themeColor="text1"/>
          <w:sz w:val="36"/>
          <w:szCs w:val="30"/>
          <w:highlight w:val="none"/>
          <w14:textFill>
            <w14:solidFill>
              <w14:schemeClr w14:val="tx1"/>
            </w14:solidFill>
          </w14:textFill>
        </w:rPr>
      </w:pPr>
    </w:p>
    <w:p w14:paraId="56B1577D">
      <w:pPr>
        <w:rPr>
          <w:color w:val="000000" w:themeColor="text1"/>
          <w:highlight w:val="none"/>
          <w14:textFill>
            <w14:solidFill>
              <w14:schemeClr w14:val="tx1"/>
            </w14:solidFill>
          </w14:textFill>
        </w:rPr>
      </w:pPr>
    </w:p>
    <w:p w14:paraId="6C7647A0">
      <w:pPr>
        <w:pStyle w:val="16"/>
        <w:rPr>
          <w:rFonts w:hint="eastAsia" w:ascii="宋体" w:hAnsi="宋体" w:cs="宋体"/>
          <w:color w:val="000000" w:themeColor="text1"/>
          <w:highlight w:val="none"/>
          <w14:textFill>
            <w14:solidFill>
              <w14:schemeClr w14:val="tx1"/>
            </w14:solidFill>
          </w14:textFill>
        </w:rPr>
      </w:pPr>
    </w:p>
    <w:p w14:paraId="10A6B093">
      <w:pPr>
        <w:spacing w:line="700" w:lineRule="exact"/>
        <w:ind w:firstLine="600" w:firstLineChars="200"/>
        <w:jc w:val="lef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比 选 人：重庆自然博物馆</w:t>
      </w:r>
    </w:p>
    <w:p w14:paraId="65D0BD29">
      <w:pPr>
        <w:pStyle w:val="5"/>
        <w:spacing w:line="580" w:lineRule="exact"/>
        <w:ind w:firstLine="560"/>
        <w:contextualSpacing/>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比选代理机构：重庆誉标项目管理有限公司</w:t>
      </w:r>
    </w:p>
    <w:p w14:paraId="13F5ABDC">
      <w:pPr>
        <w:spacing w:line="700" w:lineRule="exact"/>
        <w:jc w:val="left"/>
        <w:rPr>
          <w:rFonts w:hint="eastAsia" w:ascii="宋体" w:hAnsi="宋体" w:cs="宋体"/>
          <w:color w:val="000000" w:themeColor="text1"/>
          <w:sz w:val="30"/>
          <w:szCs w:val="30"/>
          <w:highlight w:val="none"/>
          <w14:textFill>
            <w14:solidFill>
              <w14:schemeClr w14:val="tx1"/>
            </w14:solidFill>
          </w14:textFill>
        </w:rPr>
      </w:pPr>
    </w:p>
    <w:p w14:paraId="52CEC1DB">
      <w:pPr>
        <w:spacing w:line="700" w:lineRule="exact"/>
        <w:rPr>
          <w:rFonts w:hint="eastAsia" w:ascii="宋体" w:hAnsi="宋体" w:cs="宋体"/>
          <w:b/>
          <w:color w:val="000000" w:themeColor="text1"/>
          <w:sz w:val="32"/>
          <w:szCs w:val="32"/>
          <w:highlight w:val="none"/>
          <w14:textFill>
            <w14:solidFill>
              <w14:schemeClr w14:val="tx1"/>
            </w14:solidFill>
          </w14:textFill>
        </w:rPr>
      </w:pPr>
    </w:p>
    <w:p w14:paraId="60EFCB78">
      <w:pPr>
        <w:pStyle w:val="16"/>
        <w:rPr>
          <w:rFonts w:hint="eastAsia" w:ascii="宋体" w:hAnsi="宋体" w:cs="宋体"/>
          <w:b/>
          <w:color w:val="000000" w:themeColor="text1"/>
          <w:sz w:val="32"/>
          <w:szCs w:val="32"/>
          <w:highlight w:val="none"/>
          <w14:textFill>
            <w14:solidFill>
              <w14:schemeClr w14:val="tx1"/>
            </w14:solidFill>
          </w14:textFill>
        </w:rPr>
      </w:pPr>
    </w:p>
    <w:p w14:paraId="6A5D9D6C">
      <w:pPr>
        <w:rPr>
          <w:rFonts w:hint="eastAsia" w:ascii="宋体" w:hAnsi="宋体" w:cs="宋体"/>
          <w:color w:val="000000" w:themeColor="text1"/>
          <w:highlight w:val="none"/>
          <w14:textFill>
            <w14:solidFill>
              <w14:schemeClr w14:val="tx1"/>
            </w14:solidFill>
          </w14:textFill>
        </w:rPr>
      </w:pPr>
    </w:p>
    <w:p w14:paraId="246D287B">
      <w:pPr>
        <w:spacing w:line="720" w:lineRule="exact"/>
        <w:ind w:firstLine="960"/>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二〇二六年</w:t>
      </w:r>
      <w:r>
        <w:rPr>
          <w:rFonts w:hint="eastAsia" w:ascii="宋体" w:hAnsi="宋体" w:cs="宋体"/>
          <w:color w:val="000000" w:themeColor="text1"/>
          <w:sz w:val="30"/>
          <w:szCs w:val="30"/>
          <w:highlight w:val="none"/>
          <w:lang w:val="en-US" w:eastAsia="zh-CN"/>
          <w14:textFill>
            <w14:solidFill>
              <w14:schemeClr w14:val="tx1"/>
            </w14:solidFill>
          </w14:textFill>
        </w:rPr>
        <w:t>四</w:t>
      </w:r>
      <w:r>
        <w:rPr>
          <w:rFonts w:hint="eastAsia" w:ascii="宋体" w:hAnsi="宋体" w:cs="宋体"/>
          <w:color w:val="000000" w:themeColor="text1"/>
          <w:sz w:val="30"/>
          <w:szCs w:val="30"/>
          <w:highlight w:val="none"/>
          <w14:textFill>
            <w14:solidFill>
              <w14:schemeClr w14:val="tx1"/>
            </w14:solidFill>
          </w14:textFill>
        </w:rPr>
        <w:t>月</w:t>
      </w:r>
    </w:p>
    <w:p w14:paraId="0AB6ADE9">
      <w:pPr>
        <w:ind w:firstLine="800"/>
        <w:jc w:val="center"/>
        <w:rPr>
          <w:rFonts w:hint="eastAsia" w:ascii="宋体" w:hAnsi="宋体" w:cs="宋体"/>
          <w:b/>
          <w:color w:val="000000" w:themeColor="text1"/>
          <w:sz w:val="4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851" w:footer="992" w:gutter="0"/>
          <w:pgNumType w:start="1"/>
          <w:cols w:space="720" w:num="1"/>
          <w:docGrid w:linePitch="380" w:charSpace="-5735"/>
        </w:sectPr>
      </w:pPr>
    </w:p>
    <w:p w14:paraId="1D3A721A">
      <w:pPr>
        <w:spacing w:after="120" w:line="360" w:lineRule="atLeas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目  录</w:t>
      </w:r>
    </w:p>
    <w:p w14:paraId="66381A99">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fldChar w:fldCharType="begin"/>
      </w:r>
      <w:r>
        <w:rPr>
          <w:rFonts w:asciiTheme="minorEastAsia" w:hAnsiTheme="minorEastAsia" w:eastAsiaTheme="minorEastAsia"/>
          <w:bCs/>
          <w:color w:val="000000" w:themeColor="text1"/>
          <w:sz w:val="24"/>
          <w:highlight w:val="none"/>
          <w14:textFill>
            <w14:solidFill>
              <w14:schemeClr w14:val="tx1"/>
            </w14:solidFill>
          </w14:textFill>
        </w:rPr>
        <w:instrText xml:space="preserve"> TOC \o "1-3" \h \z \u </w:instrText>
      </w:r>
      <w:r>
        <w:rPr>
          <w:rFonts w:asciiTheme="minorEastAsia" w:hAnsiTheme="minorEastAsia" w:eastAsiaTheme="minorEastAsia"/>
          <w:bCs/>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"_Toc30025" </w:instrText>
      </w:r>
      <w:r>
        <w:rPr>
          <w:color w:val="000000" w:themeColor="text1"/>
          <w:highlight w:val="none"/>
          <w14:textFill>
            <w14:solidFill>
              <w14:schemeClr w14:val="tx1"/>
            </w14:solidFill>
          </w14:textFill>
        </w:rPr>
        <w:fldChar w:fldCharType="separate"/>
      </w:r>
      <w:r>
        <w:rPr>
          <w:rFonts w:hint="eastAsia" w:cs="宋体"/>
          <w:color w:val="000000" w:themeColor="text1"/>
          <w:kern w:val="0"/>
          <w:highlight w:val="none"/>
          <w14:textFill>
            <w14:solidFill>
              <w14:schemeClr w14:val="tx1"/>
            </w14:solidFill>
          </w14:textFill>
        </w:rPr>
        <w:t>第一章  比选公告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61408B">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"_Toc8427" </w:instrText>
      </w:r>
      <w:r>
        <w:rPr>
          <w:color w:val="000000" w:themeColor="text1"/>
          <w:highlight w:val="none"/>
          <w14:textFill>
            <w14:solidFill>
              <w14:schemeClr w14:val="tx1"/>
            </w14:solidFill>
          </w14:textFill>
        </w:rPr>
        <w:fldChar w:fldCharType="separate"/>
      </w:r>
      <w:r>
        <w:rPr>
          <w:rFonts w:hint="eastAsia" w:cs="宋体"/>
          <w:color w:val="000000" w:themeColor="text1"/>
          <w:kern w:val="0"/>
          <w:highlight w:val="none"/>
          <w14:textFill>
            <w14:solidFill>
              <w14:schemeClr w14:val="tx1"/>
            </w14:solidFill>
          </w14:textFill>
        </w:rPr>
        <w:t>第二章</w:t>
      </w:r>
      <w:r>
        <w:rPr>
          <w:rFonts w:cs="宋体"/>
          <w:color w:val="000000" w:themeColor="text1"/>
          <w:kern w:val="0"/>
          <w:highlight w:val="none"/>
          <w14:textFill>
            <w14:solidFill>
              <w14:schemeClr w14:val="tx1"/>
            </w14:solidFill>
          </w14:textFill>
        </w:rPr>
        <w:t xml:space="preserve">  </w:t>
      </w:r>
      <w:r>
        <w:rPr>
          <w:rFonts w:hint="eastAsia" w:cs="宋体"/>
          <w:color w:val="000000" w:themeColor="text1"/>
          <w:kern w:val="0"/>
          <w:highlight w:val="none"/>
          <w14:textFill>
            <w14:solidFill>
              <w14:schemeClr w14:val="tx1"/>
            </w14:solidFill>
          </w14:textFill>
        </w:rPr>
        <w:t>参选人须知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AF5C99E">
      <w:pPr>
        <w:pStyle w:val="33"/>
        <w:tabs>
          <w:tab w:val="right" w:leader="dot" w:pos="8504"/>
          <w:tab w:val="clear" w:pos="567"/>
          <w:tab w:val="clear" w:pos="8505"/>
          <w:tab w:val="clear" w:pos="962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"_Toc3493"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参选人须知前附表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44AA49">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"_Toc21509"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 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457DF9">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1.1项目概况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FE8FEC">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资金落实情况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E4421A">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"_Toc18113"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1.3比选范围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C8B277">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1.4分包划分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7362F6">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"_Toc11477"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1.5比选方式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9A84836">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"_Toc15058"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1.6比选组织形式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7E73F72">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"_Toc14538"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1.7资格审查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79CDC3">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"_Toc14473"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1.8参选人不得存在的情形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D7610C">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1.9合格的货物和服务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B2CD79">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"_Toc14927"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1.10参选费用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8152B4">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1.11保密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74EA2A1">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 比选文件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C1A8CB">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"_Toc16210"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2.1比选文件的组成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755754">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"_Toc15213"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踏勘现场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A3F459">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参选预备会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2E1FB6E">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2.4比选文件的澄清和修改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277A9F6">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"_Toc8555"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 比选文件的异议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C03E13">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"_Toc19812"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 参选文件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1A3479">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3.1参选文件的组成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5BCA12">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"_Toc25013"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3.2参选文件的编制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63CC4A">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"_Toc3858"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3.3参选报价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8A0EBC0">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"_Toc4673"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参选有效期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0811FC9">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"_Toc23822"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3.5参选保证金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AD1F3C">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rFonts w:hint="eastAsia"/>
          <w:color w:val="000000" w:themeColor="text1"/>
          <w:highlight w:val="none"/>
          <w14:textFill>
            <w14:solidFill>
              <w14:schemeClr w14:val="tx1"/>
            </w14:solidFill>
          </w14:textFill>
        </w:rPr>
        <w:t>备选参选方案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942A00">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3.7参选文件的式样、密封和标记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1C01EA">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4. 参选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824586">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4.1参选文件的递交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B20584">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rFonts w:hint="eastAsia"/>
          <w:color w:val="000000" w:themeColor="text1"/>
          <w:highlight w:val="none"/>
          <w14:textFill>
            <w14:solidFill>
              <w14:schemeClr w14:val="tx1"/>
            </w14:solidFill>
          </w14:textFill>
        </w:rPr>
        <w:t>参选文件的修改、撤回和撤销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8A58A5">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5. 唱价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77748E">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"_Toc19474"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5.1唱价时间和地点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7BF316C">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"_Toc24671"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5.2唱价程序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D7BACD">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rFonts w:hint="eastAsia"/>
          <w:color w:val="000000" w:themeColor="text1"/>
          <w:highlight w:val="none"/>
          <w14:textFill>
            <w14:solidFill>
              <w14:schemeClr w14:val="tx1"/>
            </w14:solidFill>
          </w14:textFill>
        </w:rPr>
        <w:t>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B2617A7">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"_Toc6009"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6. 评选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661898">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6.1评选委员会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CA382A">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rFonts w:hint="eastAsia"/>
          <w:color w:val="000000" w:themeColor="text1"/>
          <w:highlight w:val="none"/>
          <w14:textFill>
            <w14:solidFill>
              <w14:schemeClr w14:val="tx1"/>
            </w14:solidFill>
          </w14:textFill>
        </w:rPr>
        <w:t>评选原则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D97EE6">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"_Toc28832"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6.3评选方法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E5F6A6">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"_Toc19916"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6.4中选候选人推荐原则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53427E1">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"_Toc28365"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6.5评选报告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EABA08">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7. 中选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3EF8FD6">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"_Toc30982"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1确定中选人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6DD0CB">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7.2中选人公示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EFE39A">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7.3中选通知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FB34FC">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 合同签订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2C5733">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"_Toc3977"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8.1履约保证金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1A2D72">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8.2合同签订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4E5A3B">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9. 比选代理服务费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E8983E">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"_Toc31500"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10. 纪律和监督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258AD2">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10.1对比选人的纪律要求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4B5D5A">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"_Toc18007"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10.2对参选人的纪律要求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2490EF9">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10.3对评选委员会成员的纪律要求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D05906">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10.4对与评选活动有关的工作人员的纪律要求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F40A9A">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"_Toc23277"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11. 需要补充的其他内容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47A476">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"_Toc17708" </w:instrText>
      </w:r>
      <w:r>
        <w:rPr>
          <w:color w:val="000000" w:themeColor="text1"/>
          <w:highlight w:val="none"/>
          <w14:textFill>
            <w14:solidFill>
              <w14:schemeClr w14:val="tx1"/>
            </w14:solidFill>
          </w14:textFill>
        </w:rPr>
        <w:fldChar w:fldCharType="separate"/>
      </w:r>
      <w:r>
        <w:rPr>
          <w:rFonts w:hint="eastAsia" w:cs="宋体"/>
          <w:color w:val="000000" w:themeColor="text1"/>
          <w:kern w:val="0"/>
          <w:highlight w:val="none"/>
          <w14:textFill>
            <w14:solidFill>
              <w14:schemeClr w14:val="tx1"/>
            </w14:solidFill>
          </w14:textFill>
        </w:rPr>
        <w:t>第三章</w:t>
      </w:r>
      <w:r>
        <w:rPr>
          <w:rFonts w:cs="宋体"/>
          <w:color w:val="000000" w:themeColor="text1"/>
          <w:kern w:val="0"/>
          <w:highlight w:val="none"/>
          <w14:textFill>
            <w14:solidFill>
              <w14:schemeClr w14:val="tx1"/>
            </w14:solidFill>
          </w14:textFill>
        </w:rPr>
        <w:t xml:space="preserve"> </w:t>
      </w:r>
      <w:r>
        <w:rPr>
          <w:rFonts w:hint="eastAsia" w:cs="宋体"/>
          <w:color w:val="000000" w:themeColor="text1"/>
          <w:kern w:val="0"/>
          <w:highlight w:val="none"/>
          <w14:textFill>
            <w14:solidFill>
              <w14:schemeClr w14:val="tx1"/>
            </w14:solidFill>
          </w14:textFill>
        </w:rPr>
        <w:t>评选办法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7D4013">
      <w:pPr>
        <w:pStyle w:val="33"/>
        <w:tabs>
          <w:tab w:val="right" w:leader="dot" w:pos="8504"/>
          <w:tab w:val="clear" w:pos="567"/>
          <w:tab w:val="clear" w:pos="8505"/>
          <w:tab w:val="clear" w:pos="962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评选办法前附表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0FE075">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"_Toc25073"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评选方法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22D440">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357CBB">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2.1初步评审标准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FEF7D5">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"_Toc21880"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2.2详细评审标准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76A7C7">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评选程序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0F71CF">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"_Toc31890"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3.1初步评审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8DD70F">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"_Toc28134"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3.2详细评审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5803184">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3.3参选文件的澄清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F87158">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"_Toc18385"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中选候选人推荐原则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20EF06">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"_Toc23819"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rFonts w:hint="eastAsia"/>
          <w:color w:val="000000" w:themeColor="text1"/>
          <w:highlight w:val="none"/>
          <w14:textFill>
            <w14:solidFill>
              <w14:schemeClr w14:val="tx1"/>
            </w14:solidFill>
          </w14:textFill>
        </w:rPr>
        <w:t>评选结果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7E798C">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"_Toc25127" </w:instrText>
      </w:r>
      <w:r>
        <w:rPr>
          <w:color w:val="000000" w:themeColor="text1"/>
          <w:highlight w:val="none"/>
          <w14:textFill>
            <w14:solidFill>
              <w14:schemeClr w14:val="tx1"/>
            </w14:solidFill>
          </w14:textFill>
        </w:rPr>
        <w:fldChar w:fldCharType="separate"/>
      </w:r>
      <w:r>
        <w:rPr>
          <w:rFonts w:hint="eastAsia" w:cs="宋体"/>
          <w:color w:val="000000" w:themeColor="text1"/>
          <w:kern w:val="0"/>
          <w:highlight w:val="none"/>
          <w14:textFill>
            <w14:solidFill>
              <w14:schemeClr w14:val="tx1"/>
            </w14:solidFill>
          </w14:textFill>
        </w:rPr>
        <w:t>第四章 商务规范书[即合同文本]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09A477">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"_Toc4008" </w:instrText>
      </w:r>
      <w:r>
        <w:rPr>
          <w:color w:val="000000" w:themeColor="text1"/>
          <w:highlight w:val="none"/>
          <w14:textFill>
            <w14:solidFill>
              <w14:schemeClr w14:val="tx1"/>
            </w14:solidFill>
          </w14:textFill>
        </w:rPr>
        <w:fldChar w:fldCharType="separate"/>
      </w:r>
      <w:r>
        <w:rPr>
          <w:rFonts w:hint="eastAsia" w:cs="宋体"/>
          <w:color w:val="000000" w:themeColor="text1"/>
          <w:kern w:val="0"/>
          <w:highlight w:val="none"/>
          <w14:textFill>
            <w14:solidFill>
              <w14:schemeClr w14:val="tx1"/>
            </w14:solidFill>
          </w14:textFill>
        </w:rPr>
        <w:t>第五章 技术规范书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8F720FA">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"_Toc28439" </w:instrText>
      </w:r>
      <w:r>
        <w:rPr>
          <w:color w:val="000000" w:themeColor="text1"/>
          <w:highlight w:val="none"/>
          <w14:textFill>
            <w14:solidFill>
              <w14:schemeClr w14:val="tx1"/>
            </w14:solidFill>
          </w14:textFill>
        </w:rPr>
        <w:fldChar w:fldCharType="separate"/>
      </w:r>
      <w:r>
        <w:rPr>
          <w:rFonts w:hint="eastAsia" w:cs="宋体"/>
          <w:color w:val="000000" w:themeColor="text1"/>
          <w:kern w:val="0"/>
          <w:highlight w:val="none"/>
          <w14:textFill>
            <w14:solidFill>
              <w14:schemeClr w14:val="tx1"/>
            </w14:solidFill>
          </w14:textFill>
        </w:rPr>
        <w:t>第六章  参选文件格式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B8F60D">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"_Toc32164"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 参选文件封面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C44BC2">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 参选函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9B0ED8">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3. </w:t>
      </w:r>
      <w:r>
        <w:rPr>
          <w:color w:val="000000" w:themeColor="text1"/>
          <w:highlight w:val="none"/>
          <w14:textFill>
            <w14:solidFill>
              <w14:schemeClr w14:val="tx1"/>
            </w14:solidFill>
          </w14:textFill>
        </w:rPr>
        <w:t>法定代表人/负责人身份证明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95453E">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4. </w:t>
      </w:r>
      <w:r>
        <w:rPr>
          <w:color w:val="000000" w:themeColor="text1"/>
          <w:highlight w:val="none"/>
          <w14:textFill>
            <w14:solidFill>
              <w14:schemeClr w14:val="tx1"/>
            </w14:solidFill>
          </w14:textFill>
        </w:rPr>
        <w:t>法定代表人/负责人授权委托书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8E2E04">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5. 要求参选人提供的其他文件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7884F21">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6. 参选一览表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50929C">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7. 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153A8B">
      <w:pPr>
        <w:pStyle w:val="28"/>
        <w:tabs>
          <w:tab w:val="right" w:leader="dot" w:pos="8504"/>
          <w:tab w:val="clear" w:pos="567"/>
          <w:tab w:val="clear" w:pos="709"/>
          <w:tab w:val="clear" w:pos="8505"/>
        </w:tabs>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"_Toc10548"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 商务部分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73D877">
      <w:pPr>
        <w:spacing w:after="120" w:line="360" w:lineRule="atLeast"/>
        <w:rPr>
          <w:rFonts w:hint="eastAsia" w:ascii="宋体" w:hAnsi="宋体" w:cs="宋体"/>
          <w:color w:val="000000" w:themeColor="text1"/>
          <w:sz w:val="24"/>
          <w:highlight w:val="none"/>
          <w14:textFill>
            <w14:solidFill>
              <w14:schemeClr w14:val="tx1"/>
            </w14:solidFill>
          </w14:textFill>
        </w:rPr>
        <w:sectPr>
          <w:footerReference r:id="rId9" w:type="default"/>
          <w:pgSz w:w="11906" w:h="16838"/>
          <w:pgMar w:top="1440" w:right="1701" w:bottom="1440" w:left="1701" w:header="851" w:footer="992" w:gutter="0"/>
          <w:pgNumType w:start="1"/>
          <w:cols w:space="720" w:num="1"/>
          <w:docGrid w:type="linesAndChars" w:linePitch="380" w:charSpace="0"/>
        </w:sectPr>
      </w:pPr>
      <w:r>
        <w:rPr>
          <w:rFonts w:asciiTheme="minorEastAsia" w:hAnsiTheme="minorEastAsia" w:eastAsiaTheme="minorEastAsia"/>
          <w:color w:val="000000" w:themeColor="text1"/>
          <w:highlight w:val="none"/>
          <w14:textFill>
            <w14:solidFill>
              <w14:schemeClr w14:val="tx1"/>
            </w14:solidFill>
          </w14:textFill>
        </w:rPr>
        <w:fldChar w:fldCharType="end"/>
      </w:r>
    </w:p>
    <w:p w14:paraId="39440B46">
      <w:pPr>
        <w:pStyle w:val="45"/>
        <w:spacing w:before="240" w:after="120"/>
        <w:rPr>
          <w:rFonts w:hint="eastAsia" w:ascii="宋体" w:hAnsi="宋体" w:eastAsia="宋体" w:cs="宋体"/>
          <w:b/>
          <w:bCs w:val="0"/>
          <w:color w:val="000000" w:themeColor="text1"/>
          <w:kern w:val="0"/>
          <w:highlight w:val="none"/>
          <w14:textFill>
            <w14:solidFill>
              <w14:schemeClr w14:val="tx1"/>
            </w14:solidFill>
          </w14:textFill>
        </w:rPr>
      </w:pPr>
      <w:bookmarkStart w:id="0" w:name="_Toc447188662"/>
      <w:bookmarkStart w:id="1" w:name="_Toc447265797"/>
      <w:bookmarkStart w:id="2" w:name="_Toc447265497"/>
      <w:bookmarkStart w:id="3" w:name="_Toc30025"/>
      <w:bookmarkStart w:id="4" w:name="_Toc447265211"/>
      <w:r>
        <w:rPr>
          <w:rFonts w:hint="eastAsia" w:ascii="宋体" w:hAnsi="宋体" w:eastAsia="宋体" w:cs="宋体"/>
          <w:b/>
          <w:bCs w:val="0"/>
          <w:color w:val="000000" w:themeColor="text1"/>
          <w:kern w:val="0"/>
          <w:highlight w:val="none"/>
          <w14:textFill>
            <w14:solidFill>
              <w14:schemeClr w14:val="tx1"/>
            </w14:solidFill>
          </w14:textFill>
        </w:rPr>
        <w:t>第一章  比选公告</w:t>
      </w:r>
      <w:bookmarkEnd w:id="0"/>
      <w:bookmarkEnd w:id="1"/>
      <w:bookmarkEnd w:id="2"/>
      <w:bookmarkEnd w:id="3"/>
      <w:bookmarkEnd w:id="4"/>
    </w:p>
    <w:p w14:paraId="02713F32">
      <w:pPr>
        <w:adjustRightInd w:val="0"/>
        <w:snapToGrid w:val="0"/>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本比选项目为</w:t>
      </w:r>
      <w:r>
        <w:rPr>
          <w:rFonts w:hint="eastAsia" w:ascii="宋体" w:hAnsi="宋体"/>
          <w:color w:val="000000" w:themeColor="text1"/>
          <w:sz w:val="24"/>
          <w:highlight w:val="none"/>
          <w:u w:val="single"/>
          <w14:textFill>
            <w14:solidFill>
              <w14:schemeClr w14:val="tx1"/>
            </w14:solidFill>
          </w14:textFill>
        </w:rPr>
        <w:t>重庆自然博物馆室外停车场合作经营项目</w:t>
      </w:r>
      <w:r>
        <w:rPr>
          <w:rFonts w:hint="eastAsia" w:ascii="宋体" w:hAnsi="宋体"/>
          <w:color w:val="000000" w:themeColor="text1"/>
          <w:sz w:val="24"/>
          <w:highlight w:val="none"/>
          <w14:textFill>
            <w14:solidFill>
              <w14:schemeClr w14:val="tx1"/>
            </w14:solidFill>
          </w14:textFill>
        </w:rPr>
        <w:t>，比选人为</w:t>
      </w:r>
      <w:r>
        <w:rPr>
          <w:rFonts w:hint="eastAsia" w:ascii="宋体" w:hAnsi="宋体"/>
          <w:color w:val="000000" w:themeColor="text1"/>
          <w:sz w:val="24"/>
          <w:highlight w:val="none"/>
          <w:u w:val="single"/>
          <w14:textFill>
            <w14:solidFill>
              <w14:schemeClr w14:val="tx1"/>
            </w14:solidFill>
          </w14:textFill>
        </w:rPr>
        <w:t>重庆自然博物馆</w:t>
      </w:r>
      <w:r>
        <w:rPr>
          <w:rFonts w:hint="eastAsia" w:ascii="宋体" w:hAnsi="宋体"/>
          <w:color w:val="000000" w:themeColor="text1"/>
          <w:sz w:val="24"/>
          <w:highlight w:val="none"/>
          <w14:textFill>
            <w14:solidFill>
              <w14:schemeClr w14:val="tx1"/>
            </w14:solidFill>
          </w14:textFill>
        </w:rPr>
        <w:t>，比选代理机构为</w:t>
      </w:r>
      <w:r>
        <w:rPr>
          <w:rFonts w:hint="eastAsia" w:ascii="宋体" w:hAnsi="宋体"/>
          <w:color w:val="000000" w:themeColor="text1"/>
          <w:sz w:val="24"/>
          <w:highlight w:val="none"/>
          <w:u w:val="single"/>
          <w14:textFill>
            <w14:solidFill>
              <w14:schemeClr w14:val="tx1"/>
            </w14:solidFill>
          </w14:textFill>
        </w:rPr>
        <w:t>重庆誉标项目管理有限公司</w:t>
      </w:r>
      <w:r>
        <w:rPr>
          <w:rFonts w:hint="eastAsia" w:ascii="宋体" w:hAnsi="宋体"/>
          <w:color w:val="000000" w:themeColor="text1"/>
          <w:sz w:val="24"/>
          <w:highlight w:val="none"/>
          <w14:textFill>
            <w14:solidFill>
              <w14:schemeClr w14:val="tx1"/>
            </w14:solidFill>
          </w14:textFill>
        </w:rPr>
        <w:t>。项目资金已落实，具备比选条件，现进行公开比选，特邀请有意向的且具有提供标的物能力的潜在参选人（以下简称参选人）参选。</w:t>
      </w:r>
    </w:p>
    <w:p w14:paraId="4D920E92">
      <w:pPr>
        <w:pStyle w:val="46"/>
        <w:numPr>
          <w:ilvl w:val="0"/>
          <w:numId w:val="2"/>
        </w:numPr>
        <w:adjustRightInd w:val="0"/>
        <w:snapToGrid w:val="0"/>
        <w:spacing w:line="440" w:lineRule="exact"/>
        <w:ind w:firstLineChars="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项目概况与比选内容</w:t>
      </w:r>
    </w:p>
    <w:p w14:paraId="7745D3BA">
      <w:pPr>
        <w:pStyle w:val="46"/>
        <w:numPr>
          <w:ilvl w:val="1"/>
          <w:numId w:val="2"/>
        </w:numPr>
        <w:adjustRightInd w:val="0"/>
        <w:snapToGrid w:val="0"/>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r>
        <w:rPr>
          <w:rFonts w:asciiTheme="minorEastAsia" w:hAnsiTheme="minorEastAsia" w:eastAsiaTheme="minorEastAsia"/>
          <w:color w:val="000000" w:themeColor="text1"/>
          <w:sz w:val="24"/>
          <w:highlight w:val="none"/>
          <w14:textFill>
            <w14:solidFill>
              <w14:schemeClr w14:val="tx1"/>
            </w14:solidFill>
          </w14:textFill>
        </w:rPr>
        <w:t>：</w:t>
      </w:r>
    </w:p>
    <w:p w14:paraId="4CD86B80">
      <w:pPr>
        <w:pStyle w:val="16"/>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重庆自然博物馆位于重庆市北碚区金华路398号，展馆包括“动物星球”、“恐龙世界”、“山水都市”、“地球奥秘”、“生命激流”、“生态家园”六大馆区，主要展示地球演变、生命进化、生物多样性以及重庆壮丽山川，重点阐述自然资源、环境与人类活动的关系，倡导人与自然和谐共处和可持续发展理念，其配套室外停车位使用率较高，为提升入场观众停车管理效率和服务质量，比选人提供停车场产权物业引入合作服务公司进行服务，通过向使用者收费创造盈利的合作项目优选服务商。</w:t>
      </w:r>
      <w:r>
        <w:rPr>
          <w:rFonts w:hint="eastAsia" w:ascii="宋体" w:hAnsi="宋体" w:cs="宋体"/>
          <w:color w:val="000000" w:themeColor="text1"/>
          <w:sz w:val="24"/>
          <w:szCs w:val="24"/>
          <w:highlight w:val="none"/>
          <w14:textFill>
            <w14:solidFill>
              <w14:schemeClr w14:val="tx1"/>
            </w14:solidFill>
          </w14:textFill>
        </w:rPr>
        <w:t>当前停车场收费标准为：12小时内单次入场停车6元/车次（过时后停车计费系统重新累加计费）</w:t>
      </w:r>
      <w:r>
        <w:rPr>
          <w:rFonts w:hint="eastAsia" w:ascii="宋体" w:hAnsi="宋体" w:cs="宋体"/>
          <w:color w:val="000000" w:themeColor="text1"/>
          <w:sz w:val="24"/>
          <w:szCs w:val="24"/>
          <w:highlight w:val="none"/>
          <w14:textFill>
            <w14:solidFill>
              <w14:schemeClr w14:val="tx1"/>
            </w14:solidFill>
          </w14:textFill>
        </w:rPr>
        <w:t>。中选人每年向比选人支付报价金额的合作经营费后的盈余部分归其所有并自负盈亏。</w:t>
      </w:r>
    </w:p>
    <w:p w14:paraId="25A0DAC1">
      <w:pPr>
        <w:pStyle w:val="16"/>
        <w:spacing w:line="360" w:lineRule="auto"/>
        <w:ind w:firstLine="482" w:firstLineChars="20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注：最终每年缴纳的合作经营费以参选且中选方响应文件填报价格为准。同时本次比选标的为比选人预计在服务期内可能发生的盈利项目预估，并不作为比选人向参选人作出的具体项目盈利的承诺，如在合作服务期内中选人未获得足额盈利，其停车场使用者付费收入应优先保证比选人利益且不构成比选人违约，中选人不得追究比选人违约责任。潜在参选人应充分了解本次比选项目的相关风险，结合自身实力慎重参与比选竞争。如参选人不同意此条款，则参选人应书面告知比选人，并退出本项目的比选）</w:t>
      </w:r>
    </w:p>
    <w:p w14:paraId="26F4DC02">
      <w:pPr>
        <w:pStyle w:val="46"/>
        <w:numPr>
          <w:ilvl w:val="1"/>
          <w:numId w:val="2"/>
        </w:numPr>
        <w:adjustRightInd w:val="0"/>
        <w:snapToGrid w:val="0"/>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比选内容</w:t>
      </w:r>
      <w:r>
        <w:rPr>
          <w:rFonts w:hint="eastAsia" w:asciiTheme="minorEastAsia" w:hAnsiTheme="minorEastAsia" w:eastAsiaTheme="minorEastAsia"/>
          <w:color w:val="000000" w:themeColor="text1"/>
          <w:sz w:val="24"/>
          <w:highlight w:val="none"/>
          <w14:textFill>
            <w14:solidFill>
              <w14:schemeClr w14:val="tx1"/>
            </w14:solidFill>
          </w14:textFill>
        </w:rPr>
        <w:t>及相关情况：</w:t>
      </w:r>
    </w:p>
    <w:tbl>
      <w:tblPr>
        <w:tblStyle w:val="38"/>
        <w:tblW w:w="7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883"/>
        <w:gridCol w:w="1940"/>
        <w:gridCol w:w="1710"/>
        <w:gridCol w:w="1560"/>
      </w:tblGrid>
      <w:tr w14:paraId="6FC3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62" w:type="dxa"/>
            <w:vAlign w:val="center"/>
          </w:tcPr>
          <w:p w14:paraId="1AA8ED8E">
            <w:pPr>
              <w:pStyle w:val="17"/>
              <w:ind w:left="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1883" w:type="dxa"/>
            <w:vAlign w:val="center"/>
          </w:tcPr>
          <w:p w14:paraId="5DAE163C">
            <w:pPr>
              <w:pStyle w:val="17"/>
              <w:ind w:left="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项目名称</w:t>
            </w:r>
          </w:p>
        </w:tc>
        <w:tc>
          <w:tcPr>
            <w:tcW w:w="1940" w:type="dxa"/>
            <w:vAlign w:val="center"/>
          </w:tcPr>
          <w:p w14:paraId="7A97D7BB">
            <w:pPr>
              <w:pStyle w:val="17"/>
              <w:ind w:left="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服务需求</w:t>
            </w:r>
          </w:p>
        </w:tc>
        <w:tc>
          <w:tcPr>
            <w:tcW w:w="1710" w:type="dxa"/>
            <w:vAlign w:val="center"/>
          </w:tcPr>
          <w:p w14:paraId="2E3C1C44">
            <w:pPr>
              <w:pStyle w:val="17"/>
              <w:ind w:left="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最低合作经营费（万元/年）</w:t>
            </w:r>
          </w:p>
        </w:tc>
        <w:tc>
          <w:tcPr>
            <w:tcW w:w="1560" w:type="dxa"/>
            <w:vAlign w:val="center"/>
          </w:tcPr>
          <w:p w14:paraId="531535F1">
            <w:pPr>
              <w:pStyle w:val="17"/>
              <w:ind w:left="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备注</w:t>
            </w:r>
          </w:p>
        </w:tc>
      </w:tr>
      <w:tr w14:paraId="6D25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562" w:type="dxa"/>
            <w:vAlign w:val="center"/>
          </w:tcPr>
          <w:p w14:paraId="3142AFE3">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p>
        </w:tc>
        <w:tc>
          <w:tcPr>
            <w:tcW w:w="1883" w:type="dxa"/>
            <w:vAlign w:val="center"/>
          </w:tcPr>
          <w:p w14:paraId="666262C4">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重庆自然博物馆室外停车场合作经营项目</w:t>
            </w:r>
          </w:p>
        </w:tc>
        <w:tc>
          <w:tcPr>
            <w:tcW w:w="1940" w:type="dxa"/>
            <w:vAlign w:val="center"/>
          </w:tcPr>
          <w:p w14:paraId="6773E818">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对重庆自然博物馆室外停车场合作经营项目引进合作管理所需的服务商进行比选</w:t>
            </w:r>
          </w:p>
        </w:tc>
        <w:tc>
          <w:tcPr>
            <w:tcW w:w="1710" w:type="dxa"/>
            <w:vAlign w:val="center"/>
          </w:tcPr>
          <w:p w14:paraId="649BDA53">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35</w:t>
            </w:r>
          </w:p>
        </w:tc>
        <w:tc>
          <w:tcPr>
            <w:tcW w:w="1560" w:type="dxa"/>
            <w:vAlign w:val="center"/>
          </w:tcPr>
          <w:p w14:paraId="4A139AC9">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合作经营费：每年按中选人报价金额向比选人支付合作经营费金额，同时自负盈亏。</w:t>
            </w:r>
          </w:p>
        </w:tc>
      </w:tr>
    </w:tbl>
    <w:p w14:paraId="65396E5D">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（1）服务地点：重庆市北碚区金华路398号。</w:t>
      </w:r>
    </w:p>
    <w:p w14:paraId="674BDAE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（2）物业区域：</w:t>
      </w:r>
      <w:r>
        <w:rPr>
          <w:rFonts w:hint="eastAsia" w:ascii="宋体" w:hAnsi="宋体" w:cs="宋体"/>
          <w:color w:val="000000" w:themeColor="text1"/>
          <w:sz w:val="24"/>
          <w:highlight w:val="none"/>
          <w14:textFill>
            <w14:solidFill>
              <w14:schemeClr w14:val="tx1"/>
            </w14:solidFill>
          </w14:textFill>
        </w:rPr>
        <w:t>重庆市北碚区金华路398号，管理总面积约7</w:t>
      </w:r>
      <w:r>
        <w:rPr>
          <w:rFonts w:ascii="宋体" w:hAnsi="宋体" w:cs="宋体"/>
          <w:color w:val="000000" w:themeColor="text1"/>
          <w:sz w:val="24"/>
          <w:highlight w:val="none"/>
          <w14:textFill>
            <w14:solidFill>
              <w14:schemeClr w14:val="tx1"/>
            </w14:solidFill>
          </w14:textFill>
        </w:rPr>
        <w:t>000</w:t>
      </w:r>
      <w:r>
        <w:rPr>
          <w:rFonts w:hint="eastAsia" w:ascii="宋体" w:hAnsi="宋体" w:cs="宋体"/>
          <w:color w:val="000000" w:themeColor="text1"/>
          <w:sz w:val="24"/>
          <w:highlight w:val="none"/>
          <w14:textFill>
            <w14:solidFill>
              <w14:schemeClr w14:val="tx1"/>
            </w14:solidFill>
          </w14:textFill>
        </w:rPr>
        <w:t>平方米，其中小车位162个；</w:t>
      </w:r>
    </w:p>
    <w:p w14:paraId="64197FB8">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（3）服务期限：三年，合同签订之日计起。</w:t>
      </w:r>
    </w:p>
    <w:p w14:paraId="4145B1B3">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（4）工作内容：负责停车场内的车辆停放管理、停放安全管控、车辆进出的收费和停车场内的环境卫生服务等工作。</w:t>
      </w:r>
    </w:p>
    <w:p w14:paraId="29BF038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（5）相关要求：</w:t>
      </w:r>
    </w:p>
    <w:p w14:paraId="1FF75AA4">
      <w:pPr>
        <w:spacing w:line="360" w:lineRule="auto"/>
        <w:ind w:left="210" w:leftChars="10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 每年按参选的合作经营费向比选人支付，自负盈亏。(必须响应格式自拟)</w:t>
      </w:r>
    </w:p>
    <w:p w14:paraId="6F5CFE12">
      <w:pPr>
        <w:spacing w:line="360" w:lineRule="auto"/>
        <w:ind w:left="210" w:leftChars="10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 停车场内发生的安全事故及安全责任由中选供应商自行承担相应责任。(必须响应格式自拟)</w:t>
      </w:r>
    </w:p>
    <w:p w14:paraId="5D8BF717">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（6）人员投入：参选人应根据现场服务需求合理配备具有停车场管理服务能力的工作人员数量，确保停车场及收费系统地的正常运行。</w:t>
      </w:r>
    </w:p>
    <w:p w14:paraId="5D93259D">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（7）本项目不划分分包及份额。</w:t>
      </w:r>
    </w:p>
    <w:p w14:paraId="7116E654">
      <w:pPr>
        <w:pStyle w:val="46"/>
        <w:numPr>
          <w:ilvl w:val="1"/>
          <w:numId w:val="2"/>
        </w:numPr>
        <w:adjustRightInd w:val="0"/>
        <w:snapToGrid w:val="0"/>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bookmarkStart w:id="5" w:name="_Toc184704555"/>
      <w:bookmarkStart w:id="6" w:name="_Toc319394714"/>
      <w:bookmarkStart w:id="7" w:name="_Toc319769473"/>
      <w:r>
        <w:rPr>
          <w:rFonts w:hint="eastAsia" w:ascii="宋体" w:hAnsi="宋体"/>
          <w:color w:val="000000" w:themeColor="text1"/>
          <w:sz w:val="24"/>
          <w:highlight w:val="none"/>
          <w14:textFill>
            <w14:solidFill>
              <w14:schemeClr w14:val="tx1"/>
            </w14:solidFill>
          </w14:textFill>
        </w:rPr>
        <w:t>本项目设置最低合作经营费，合作经营费最低为人民币</w:t>
      </w:r>
      <w:r>
        <w:rPr>
          <w:rFonts w:hint="eastAsia" w:ascii="宋体" w:hAnsi="宋体"/>
          <w:b/>
          <w:bCs/>
          <w:color w:val="000000" w:themeColor="text1"/>
          <w:sz w:val="24"/>
          <w:highlight w:val="none"/>
          <w:u w:val="single"/>
          <w14:textFill>
            <w14:solidFill>
              <w14:schemeClr w14:val="tx1"/>
            </w14:solidFill>
          </w14:textFill>
        </w:rPr>
        <w:t>35万元/年</w:t>
      </w:r>
      <w:r>
        <w:rPr>
          <w:rFonts w:hint="eastAsia" w:ascii="宋体" w:hAnsi="宋体"/>
          <w:color w:val="000000" w:themeColor="text1"/>
          <w:sz w:val="24"/>
          <w:highlight w:val="none"/>
          <w14:textFill>
            <w14:solidFill>
              <w14:schemeClr w14:val="tx1"/>
            </w14:solidFill>
          </w14:textFill>
        </w:rPr>
        <w:t>，参选人参选报价低于最低合作经营费的，其参选将被否决。</w:t>
      </w:r>
    </w:p>
    <w:p w14:paraId="168F0CBE">
      <w:pPr>
        <w:pStyle w:val="46"/>
        <w:numPr>
          <w:ilvl w:val="0"/>
          <w:numId w:val="2"/>
        </w:numPr>
        <w:adjustRightInd w:val="0"/>
        <w:snapToGrid w:val="0"/>
        <w:spacing w:line="440" w:lineRule="exact"/>
        <w:ind w:firstLineChars="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参选人资格要求</w:t>
      </w:r>
      <w:bookmarkEnd w:id="5"/>
      <w:bookmarkEnd w:id="6"/>
      <w:bookmarkEnd w:id="7"/>
    </w:p>
    <w:p w14:paraId="08E8A1FA">
      <w:pPr>
        <w:numPr>
          <w:ilvl w:val="1"/>
          <w:numId w:val="2"/>
        </w:numPr>
        <w:spacing w:line="440" w:lineRule="exact"/>
        <w:ind w:left="0" w:firstLine="426"/>
        <w:rPr>
          <w:rFonts w:hint="eastAsia" w:ascii="宋体" w:hAnsi="宋体"/>
          <w:color w:val="000000" w:themeColor="text1"/>
          <w:sz w:val="24"/>
          <w:highlight w:val="none"/>
          <w14:textFill>
            <w14:solidFill>
              <w14:schemeClr w14:val="tx1"/>
            </w14:solidFill>
          </w14:textFill>
        </w:rPr>
      </w:pPr>
      <w:bookmarkStart w:id="8" w:name="_Toc319394715"/>
      <w:bookmarkStart w:id="9" w:name="_Toc184704556"/>
      <w:bookmarkStart w:id="10" w:name="_Toc319769474"/>
      <w:r>
        <w:rPr>
          <w:rFonts w:hint="eastAsia" w:ascii="宋体" w:hAnsi="宋体"/>
          <w:color w:val="000000" w:themeColor="text1"/>
          <w:sz w:val="24"/>
          <w:highlight w:val="none"/>
          <w14:textFill>
            <w14:solidFill>
              <w14:schemeClr w14:val="tx1"/>
            </w14:solidFill>
          </w14:textFill>
        </w:rPr>
        <w:t>参选人基本资格要求：</w:t>
      </w:r>
    </w:p>
    <w:p w14:paraId="5F9ABC33">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（1）参选人应为法律上和财务上独立的法人或依法登记注册的组织，合法运作并独立于比选人和比选代理机构，名称应与营业执照一致。提供有效营业执照复印件。</w:t>
      </w:r>
    </w:p>
    <w:p w14:paraId="4E32DC33">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（2）参选人的法定代表</w:t>
      </w:r>
      <w:r>
        <w:rPr>
          <w:rFonts w:ascii="宋体" w:hAnsi="宋体"/>
          <w:color w:val="000000" w:themeColor="text1"/>
          <w:sz w:val="24"/>
          <w:highlight w:val="none"/>
          <w14:textFill>
            <w14:solidFill>
              <w14:schemeClr w14:val="tx1"/>
            </w14:solidFill>
          </w14:textFill>
        </w:rPr>
        <w:t>人或</w:t>
      </w:r>
      <w:r>
        <w:rPr>
          <w:rFonts w:hint="eastAsia" w:hAnsi="宋体"/>
          <w:color w:val="000000" w:themeColor="text1"/>
          <w:sz w:val="24"/>
          <w:highlight w:val="none"/>
          <w14:textFill>
            <w14:solidFill>
              <w14:schemeClr w14:val="tx1"/>
            </w14:solidFill>
          </w14:textFill>
        </w:rPr>
        <w:t>单位负责人为同一人或者存在控股、管理关系的不同单位，不得同时参加本项目中同一分包比选或者未划分分包的同一项目比选。</w:t>
      </w:r>
    </w:p>
    <w:p w14:paraId="10366B0B">
      <w:pPr>
        <w:spacing w:line="440" w:lineRule="exact"/>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（3）不允许联合体参加比选。</w:t>
      </w:r>
    </w:p>
    <w:p w14:paraId="12B548A9">
      <w:pPr>
        <w:numPr>
          <w:ilvl w:val="1"/>
          <w:numId w:val="2"/>
        </w:numPr>
        <w:spacing w:line="440" w:lineRule="exact"/>
        <w:ind w:left="0" w:firstLine="42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参选人不得存在下列情形：</w:t>
      </w:r>
    </w:p>
    <w:p w14:paraId="4FB12FB2">
      <w:pPr>
        <w:tabs>
          <w:tab w:val="left" w:pos="645"/>
          <w:tab w:val="left" w:pos="1146"/>
        </w:tabs>
        <w:adjustRightInd w:val="0"/>
        <w:snapToGrid w:val="0"/>
        <w:spacing w:line="360" w:lineRule="auto"/>
        <w:ind w:left="425"/>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（1</w:t>
      </w:r>
      <w:r>
        <w:rPr>
          <w:rFonts w:asciiTheme="minorEastAsia" w:hAnsiTheme="minorEastAsia"/>
          <w:color w:val="000000" w:themeColor="text1"/>
          <w:sz w:val="24"/>
          <w:highlight w:val="none"/>
          <w14:textFill>
            <w14:solidFill>
              <w14:schemeClr w14:val="tx1"/>
            </w14:solidFill>
          </w14:textFill>
        </w:rPr>
        <w:t>）</w:t>
      </w:r>
      <w:r>
        <w:rPr>
          <w:rFonts w:hint="eastAsia" w:asciiTheme="minorEastAsia" w:hAnsiTheme="minorEastAsia"/>
          <w:color w:val="000000" w:themeColor="text1"/>
          <w:sz w:val="24"/>
          <w:highlight w:val="none"/>
          <w14:textFill>
            <w14:solidFill>
              <w14:schemeClr w14:val="tx1"/>
            </w14:solidFill>
          </w14:textFill>
        </w:rPr>
        <w:t>为比选人不具有独立法人资格的附属机构（单位）；</w:t>
      </w:r>
    </w:p>
    <w:p w14:paraId="5B7F9142">
      <w:pPr>
        <w:tabs>
          <w:tab w:val="left" w:pos="645"/>
          <w:tab w:val="left" w:pos="1146"/>
        </w:tabs>
        <w:adjustRightInd w:val="0"/>
        <w:snapToGrid w:val="0"/>
        <w:spacing w:line="360" w:lineRule="auto"/>
        <w:ind w:left="425"/>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（2</w:t>
      </w:r>
      <w:r>
        <w:rPr>
          <w:rFonts w:asciiTheme="minorEastAsia" w:hAnsiTheme="minorEastAsia"/>
          <w:color w:val="000000" w:themeColor="text1"/>
          <w:sz w:val="24"/>
          <w:highlight w:val="none"/>
          <w14:textFill>
            <w14:solidFill>
              <w14:schemeClr w14:val="tx1"/>
            </w14:solidFill>
          </w14:textFill>
        </w:rPr>
        <w:t>）</w:t>
      </w:r>
      <w:r>
        <w:rPr>
          <w:rFonts w:hint="eastAsia" w:asciiTheme="minorEastAsia" w:hAnsiTheme="minorEastAsia"/>
          <w:color w:val="000000" w:themeColor="text1"/>
          <w:sz w:val="24"/>
          <w:highlight w:val="none"/>
          <w14:textFill>
            <w14:solidFill>
              <w14:schemeClr w14:val="tx1"/>
            </w14:solidFill>
          </w14:textFill>
        </w:rPr>
        <w:t>被依法暂停或取消投标/参选资格的；</w:t>
      </w:r>
    </w:p>
    <w:p w14:paraId="47F489C3">
      <w:pPr>
        <w:tabs>
          <w:tab w:val="left" w:pos="645"/>
          <w:tab w:val="left" w:pos="1146"/>
        </w:tabs>
        <w:adjustRightInd w:val="0"/>
        <w:snapToGrid w:val="0"/>
        <w:spacing w:line="360" w:lineRule="auto"/>
        <w:ind w:left="425"/>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（3</w:t>
      </w:r>
      <w:r>
        <w:rPr>
          <w:rFonts w:asciiTheme="minorEastAsia" w:hAnsiTheme="minorEastAsia"/>
          <w:color w:val="000000" w:themeColor="text1"/>
          <w:sz w:val="24"/>
          <w:highlight w:val="none"/>
          <w14:textFill>
            <w14:solidFill>
              <w14:schemeClr w14:val="tx1"/>
            </w14:solidFill>
          </w14:textFill>
        </w:rPr>
        <w:t>）</w:t>
      </w:r>
      <w:r>
        <w:rPr>
          <w:rFonts w:hint="eastAsia" w:asciiTheme="minorEastAsia" w:hAnsiTheme="minorEastAsia"/>
          <w:color w:val="000000" w:themeColor="text1"/>
          <w:sz w:val="24"/>
          <w:highlight w:val="none"/>
          <w14:textFill>
            <w14:solidFill>
              <w14:schemeClr w14:val="tx1"/>
            </w14:solidFill>
          </w14:textFill>
        </w:rPr>
        <w:t xml:space="preserve">被责令停产停业、暂扣或者吊销许可证、暂扣或者吊销执照； </w:t>
      </w:r>
    </w:p>
    <w:p w14:paraId="0B55D031">
      <w:pPr>
        <w:tabs>
          <w:tab w:val="left" w:pos="645"/>
          <w:tab w:val="left" w:pos="1146"/>
        </w:tabs>
        <w:adjustRightInd w:val="0"/>
        <w:snapToGrid w:val="0"/>
        <w:spacing w:line="360" w:lineRule="auto"/>
        <w:ind w:left="425"/>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（4</w:t>
      </w:r>
      <w:r>
        <w:rPr>
          <w:rFonts w:asciiTheme="minorEastAsia" w:hAnsiTheme="minorEastAsia"/>
          <w:color w:val="000000" w:themeColor="text1"/>
          <w:sz w:val="24"/>
          <w:highlight w:val="none"/>
          <w14:textFill>
            <w14:solidFill>
              <w14:schemeClr w14:val="tx1"/>
            </w14:solidFill>
          </w14:textFill>
        </w:rPr>
        <w:t>）</w:t>
      </w:r>
      <w:r>
        <w:rPr>
          <w:rFonts w:hint="eastAsia" w:asciiTheme="minorEastAsia" w:hAnsiTheme="minorEastAsia"/>
          <w:color w:val="000000" w:themeColor="text1"/>
          <w:sz w:val="24"/>
          <w:highlight w:val="none"/>
          <w14:textFill>
            <w14:solidFill>
              <w14:schemeClr w14:val="tx1"/>
            </w14:solidFill>
          </w14:textFill>
        </w:rPr>
        <w:t xml:space="preserve">进入清算程序，或被宣告破产，或其他丧失履约能力的情形； </w:t>
      </w:r>
    </w:p>
    <w:p w14:paraId="76208CD0">
      <w:pPr>
        <w:tabs>
          <w:tab w:val="left" w:pos="645"/>
          <w:tab w:val="left" w:pos="1146"/>
        </w:tabs>
        <w:adjustRightInd w:val="0"/>
        <w:snapToGrid w:val="0"/>
        <w:spacing w:line="360" w:lineRule="auto"/>
        <w:ind w:left="425"/>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（5）在最近三年内有骗取中标、严重违约、重大工程质量或者安全问题的；</w:t>
      </w:r>
    </w:p>
    <w:p w14:paraId="59C6FD6C">
      <w:pPr>
        <w:tabs>
          <w:tab w:val="left" w:pos="645"/>
          <w:tab w:val="left" w:pos="1146"/>
        </w:tabs>
        <w:adjustRightInd w:val="0"/>
        <w:snapToGrid w:val="0"/>
        <w:spacing w:line="360" w:lineRule="auto"/>
        <w:ind w:left="425"/>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（6）在最近五年内被判处单位行贿罪，且行贿行为与比选活动相关的；</w:t>
      </w:r>
    </w:p>
    <w:p w14:paraId="41F50DCC">
      <w:pPr>
        <w:tabs>
          <w:tab w:val="left" w:pos="645"/>
          <w:tab w:val="left" w:pos="1146"/>
        </w:tabs>
        <w:adjustRightInd w:val="0"/>
        <w:snapToGrid w:val="0"/>
        <w:spacing w:line="360" w:lineRule="auto"/>
        <w:ind w:left="425"/>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（7）在最近五年内被判处合同诈骗罪的；</w:t>
      </w:r>
    </w:p>
    <w:p w14:paraId="711F24B9">
      <w:pPr>
        <w:tabs>
          <w:tab w:val="left" w:pos="645"/>
          <w:tab w:val="left" w:pos="1146"/>
        </w:tabs>
        <w:adjustRightInd w:val="0"/>
        <w:snapToGrid w:val="0"/>
        <w:spacing w:line="360" w:lineRule="auto"/>
        <w:ind w:left="425"/>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（8）被法院认定为失信被执行人的；</w:t>
      </w:r>
    </w:p>
    <w:p w14:paraId="52D0B056">
      <w:pPr>
        <w:tabs>
          <w:tab w:val="left" w:pos="645"/>
          <w:tab w:val="left" w:pos="1146"/>
        </w:tabs>
        <w:adjustRightInd w:val="0"/>
        <w:snapToGrid w:val="0"/>
        <w:spacing w:line="360" w:lineRule="auto"/>
        <w:ind w:left="425"/>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（9）在最近三年内存在与比选内容直接相关的行政处罚或法律诉讼，可能影响履约能力的；</w:t>
      </w:r>
    </w:p>
    <w:p w14:paraId="2B09B912">
      <w:pPr>
        <w:tabs>
          <w:tab w:val="left" w:pos="645"/>
          <w:tab w:val="left" w:pos="1146"/>
        </w:tabs>
        <w:adjustRightInd w:val="0"/>
        <w:snapToGrid w:val="0"/>
        <w:spacing w:line="360" w:lineRule="auto"/>
        <w:ind w:left="425"/>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（10）法律法规规定的其他情形。</w:t>
      </w:r>
    </w:p>
    <w:p w14:paraId="2F0DBB9C">
      <w:pPr>
        <w:numPr>
          <w:ilvl w:val="1"/>
          <w:numId w:val="2"/>
        </w:num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法律法规规定的其他要求。</w:t>
      </w:r>
    </w:p>
    <w:p w14:paraId="3CE321DE">
      <w:pPr>
        <w:pStyle w:val="46"/>
        <w:numPr>
          <w:ilvl w:val="0"/>
          <w:numId w:val="2"/>
        </w:numPr>
        <w:adjustRightInd w:val="0"/>
        <w:snapToGrid w:val="0"/>
        <w:spacing w:line="440" w:lineRule="exact"/>
        <w:ind w:firstLineChars="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资格审查方法</w:t>
      </w:r>
      <w:bookmarkEnd w:id="8"/>
      <w:bookmarkEnd w:id="9"/>
      <w:bookmarkEnd w:id="10"/>
    </w:p>
    <w:p w14:paraId="70972573">
      <w:pPr>
        <w:pStyle w:val="46"/>
        <w:adjustRightInd w:val="0"/>
        <w:snapToGrid w:val="0"/>
        <w:spacing w:line="44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本项目将进行资格后审，资格审查标准和内容见比选文件第三章“评选办法”，凡未通过资格后审的参选人，其参选将被否决。</w:t>
      </w:r>
    </w:p>
    <w:p w14:paraId="7184AAE1">
      <w:pPr>
        <w:pStyle w:val="46"/>
        <w:numPr>
          <w:ilvl w:val="0"/>
          <w:numId w:val="2"/>
        </w:numPr>
        <w:adjustRightInd w:val="0"/>
        <w:snapToGrid w:val="0"/>
        <w:spacing w:line="440" w:lineRule="exact"/>
        <w:ind w:firstLineChars="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比选文件获取</w:t>
      </w:r>
    </w:p>
    <w:p w14:paraId="099C6E8E">
      <w:pPr>
        <w:numPr>
          <w:ilvl w:val="255"/>
          <w:numId w:val="0"/>
        </w:numPr>
        <w:spacing w:line="44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4.1凡有意参加比选的参选人，请在重庆自然博物（www.cmnh.org.cn）上下载本项目竞争性比选文件、澄清等比选前公布的所有项目资料，无论供应商下载或领取与否，均视为已知晓所有比选实质性要求内容。</w:t>
      </w:r>
    </w:p>
    <w:p w14:paraId="5149F7F4">
      <w:pPr>
        <w:numPr>
          <w:ilvl w:val="255"/>
          <w:numId w:val="0"/>
        </w:numPr>
        <w:spacing w:line="44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4.2获取竞争性比选文件期限</w:t>
      </w:r>
    </w:p>
    <w:p w14:paraId="1DBA3897">
      <w:pPr>
        <w:numPr>
          <w:ilvl w:val="255"/>
          <w:numId w:val="0"/>
        </w:numPr>
        <w:spacing w:line="44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4.2.1竞争性比选文件提供期限：</w:t>
      </w:r>
      <w:r>
        <w:rPr>
          <w:rFonts w:hint="eastAsia" w:ascii="宋体" w:hAnsi="宋体"/>
          <w:color w:val="000000" w:themeColor="text1"/>
          <w:sz w:val="24"/>
          <w:highlight w:val="none"/>
          <w:lang w:val="en-US" w:eastAsia="zh-CN"/>
          <w14:textFill>
            <w14:solidFill>
              <w14:schemeClr w14:val="tx1"/>
            </w14:solidFill>
          </w14:textFill>
        </w:rPr>
        <w:t>2026</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14</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val="en-US" w:eastAsia="zh-CN"/>
          <w14:textFill>
            <w14:solidFill>
              <w14:schemeClr w14:val="tx1"/>
            </w14:solidFill>
          </w14:textFill>
        </w:rPr>
        <w:t>2026</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日。</w:t>
      </w:r>
    </w:p>
    <w:p w14:paraId="0C19B061">
      <w:pPr>
        <w:numPr>
          <w:ilvl w:val="255"/>
          <w:numId w:val="0"/>
        </w:numPr>
        <w:spacing w:line="44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4.2.2竞争性比选文件获取期限内，参选人将《竞争性比选文件登记表》（加盖供应商公章）扫描后发送至55365007@qq.com（邮箱），《竞争性比选文件登记表》格式详见竞争性比选文件最后一页。</w:t>
      </w:r>
    </w:p>
    <w:p w14:paraId="50904391">
      <w:pPr>
        <w:numPr>
          <w:ilvl w:val="255"/>
          <w:numId w:val="0"/>
        </w:numPr>
        <w:spacing w:line="440" w:lineRule="exact"/>
        <w:ind w:firstLine="488" w:firstLineChars="200"/>
        <w:rPr>
          <w:rFonts w:hint="eastAsia" w:ascii="宋体" w:hAnsi="宋体"/>
          <w:color w:val="000000" w:themeColor="text1"/>
          <w:spacing w:val="2"/>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4.3比选文件每套售价300元人民币，售后不退。由参选人递交响应文件时缴纳。</w:t>
      </w:r>
    </w:p>
    <w:p w14:paraId="497CF2B5">
      <w:pPr>
        <w:pStyle w:val="46"/>
        <w:numPr>
          <w:ilvl w:val="0"/>
          <w:numId w:val="2"/>
        </w:numPr>
        <w:adjustRightInd w:val="0"/>
        <w:snapToGrid w:val="0"/>
        <w:spacing w:line="440" w:lineRule="exact"/>
        <w:ind w:firstLineChars="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参选文件的递交</w:t>
      </w:r>
    </w:p>
    <w:p w14:paraId="5977EC35">
      <w:pPr>
        <w:pStyle w:val="46"/>
        <w:numPr>
          <w:ilvl w:val="1"/>
          <w:numId w:val="2"/>
        </w:numPr>
        <w:adjustRightInd w:val="0"/>
        <w:snapToGrid w:val="0"/>
        <w:spacing w:line="440" w:lineRule="exact"/>
        <w:ind w:left="0" w:firstLine="487" w:firstLineChars="202"/>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参选文件递交截止时间（即参选截止时间）：</w:t>
      </w:r>
      <w:r>
        <w:rPr>
          <w:rFonts w:hint="eastAsia" w:ascii="宋体" w:hAnsi="宋体"/>
          <w:b/>
          <w:color w:val="000000" w:themeColor="text1"/>
          <w:sz w:val="24"/>
          <w:highlight w:val="none"/>
          <w:u w:val="single"/>
          <w14:textFill>
            <w14:solidFill>
              <w14:schemeClr w14:val="tx1"/>
            </w14:solidFill>
          </w14:textFill>
        </w:rPr>
        <w:t>2026年</w:t>
      </w:r>
      <w:r>
        <w:rPr>
          <w:rFonts w:hint="eastAsia" w:ascii="宋体" w:hAnsi="宋体"/>
          <w:b/>
          <w:color w:val="000000" w:themeColor="text1"/>
          <w:sz w:val="24"/>
          <w:highlight w:val="none"/>
          <w:u w:val="single"/>
          <w:lang w:val="en-US" w:eastAsia="zh-CN"/>
          <w14:textFill>
            <w14:solidFill>
              <w14:schemeClr w14:val="tx1"/>
            </w14:solidFill>
          </w14:textFill>
        </w:rPr>
        <w:t>4</w:t>
      </w:r>
      <w:r>
        <w:rPr>
          <w:rFonts w:hint="eastAsia" w:ascii="宋体" w:hAnsi="宋体"/>
          <w:b/>
          <w:color w:val="000000" w:themeColor="text1"/>
          <w:sz w:val="24"/>
          <w:highlight w:val="none"/>
          <w:u w:val="single"/>
          <w14:textFill>
            <w14:solidFill>
              <w14:schemeClr w14:val="tx1"/>
            </w14:solidFill>
          </w14:textFill>
        </w:rPr>
        <w:t>月</w:t>
      </w:r>
      <w:r>
        <w:rPr>
          <w:rFonts w:hint="eastAsia" w:ascii="宋体" w:hAnsi="宋体"/>
          <w:b/>
          <w:color w:val="000000" w:themeColor="text1"/>
          <w:sz w:val="24"/>
          <w:highlight w:val="none"/>
          <w:u w:val="single"/>
          <w:lang w:val="en-US" w:eastAsia="zh-CN"/>
          <w14:textFill>
            <w14:solidFill>
              <w14:schemeClr w14:val="tx1"/>
            </w14:solidFill>
          </w14:textFill>
        </w:rPr>
        <w:t>17</w:t>
      </w:r>
      <w:r>
        <w:rPr>
          <w:rFonts w:hint="eastAsia" w:ascii="宋体" w:hAnsi="宋体"/>
          <w:b/>
          <w:color w:val="000000" w:themeColor="text1"/>
          <w:sz w:val="24"/>
          <w:highlight w:val="none"/>
          <w:u w:val="single"/>
          <w14:textFill>
            <w14:solidFill>
              <w14:schemeClr w14:val="tx1"/>
            </w14:solidFill>
          </w14:textFill>
        </w:rPr>
        <w:t>日</w:t>
      </w:r>
      <w:r>
        <w:rPr>
          <w:rFonts w:hint="eastAsia" w:ascii="宋体" w:hAnsi="宋体"/>
          <w:b/>
          <w:color w:val="000000" w:themeColor="text1"/>
          <w:sz w:val="24"/>
          <w:highlight w:val="none"/>
          <w:u w:val="single"/>
          <w:lang w:val="en-US" w:eastAsia="zh-CN"/>
          <w14:textFill>
            <w14:solidFill>
              <w14:schemeClr w14:val="tx1"/>
            </w14:solidFill>
          </w14:textFill>
        </w:rPr>
        <w:t>10</w:t>
      </w:r>
      <w:r>
        <w:rPr>
          <w:rFonts w:hint="eastAsia" w:ascii="宋体" w:hAnsi="宋体"/>
          <w:b/>
          <w:color w:val="000000" w:themeColor="text1"/>
          <w:sz w:val="24"/>
          <w:highlight w:val="none"/>
          <w:u w:val="single"/>
          <w14:textFill>
            <w14:solidFill>
              <w14:schemeClr w14:val="tx1"/>
            </w14:solidFill>
          </w14:textFill>
        </w:rPr>
        <w:t>时</w:t>
      </w:r>
      <w:r>
        <w:rPr>
          <w:rFonts w:hint="eastAsia" w:ascii="宋体" w:hAnsi="宋体"/>
          <w:b/>
          <w:color w:val="000000" w:themeColor="text1"/>
          <w:sz w:val="24"/>
          <w:highlight w:val="none"/>
          <w:u w:val="single"/>
          <w:lang w:val="en-US" w:eastAsia="zh-CN"/>
          <w14:textFill>
            <w14:solidFill>
              <w14:schemeClr w14:val="tx1"/>
            </w14:solidFill>
          </w14:textFill>
        </w:rPr>
        <w:t>00</w:t>
      </w:r>
      <w:r>
        <w:rPr>
          <w:rFonts w:hint="eastAsia" w:ascii="宋体" w:hAnsi="宋体"/>
          <w:b/>
          <w:color w:val="000000" w:themeColor="text1"/>
          <w:sz w:val="24"/>
          <w:highlight w:val="none"/>
          <w:u w:val="single"/>
          <w14:textFill>
            <w14:solidFill>
              <w14:schemeClr w14:val="tx1"/>
            </w14:solidFill>
          </w14:textFill>
        </w:rPr>
        <w:t>分</w:t>
      </w:r>
      <w:r>
        <w:rPr>
          <w:rFonts w:hint="eastAsia" w:ascii="宋体" w:hAnsi="宋体"/>
          <w:b/>
          <w:color w:val="000000" w:themeColor="text1"/>
          <w:sz w:val="24"/>
          <w:highlight w:val="none"/>
          <w14:textFill>
            <w14:solidFill>
              <w14:schemeClr w14:val="tx1"/>
            </w14:solidFill>
          </w14:textFill>
        </w:rPr>
        <w:t>。</w:t>
      </w:r>
    </w:p>
    <w:p w14:paraId="68ADA104">
      <w:pPr>
        <w:pStyle w:val="46"/>
        <w:numPr>
          <w:ilvl w:val="1"/>
          <w:numId w:val="2"/>
        </w:numPr>
        <w:adjustRightInd w:val="0"/>
        <w:snapToGrid w:val="0"/>
        <w:spacing w:line="440" w:lineRule="exact"/>
        <w:ind w:left="0" w:firstLine="484" w:firstLineChars="202"/>
        <w:rPr>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参选文件递交地点：</w:t>
      </w:r>
      <w:r>
        <w:rPr>
          <w:rFonts w:hint="eastAsia" w:asciiTheme="minorEastAsia" w:hAnsiTheme="minorEastAsia" w:eastAsiaTheme="minorEastAsia"/>
          <w:bCs/>
          <w:color w:val="000000" w:themeColor="text1"/>
          <w:sz w:val="24"/>
          <w:highlight w:val="none"/>
          <w:u w:val="single"/>
          <w14:textFill>
            <w14:solidFill>
              <w14:schemeClr w14:val="tx1"/>
            </w14:solidFill>
          </w14:textFill>
        </w:rPr>
        <w:t>重庆市北碚区金华路398号</w:t>
      </w:r>
      <w:r>
        <w:rPr>
          <w:rFonts w:hint="eastAsia" w:ascii="宋体" w:hAnsi="宋体"/>
          <w:bCs/>
          <w:color w:val="000000" w:themeColor="text1"/>
          <w:sz w:val="24"/>
          <w:highlight w:val="none"/>
          <w:u w:val="single"/>
          <w14:textFill>
            <w14:solidFill>
              <w14:schemeClr w14:val="tx1"/>
            </w14:solidFill>
          </w14:textFill>
        </w:rPr>
        <w:t>重庆自然博物馆二楼会议室</w:t>
      </w:r>
      <w:r>
        <w:rPr>
          <w:rFonts w:hint="eastAsia" w:ascii="宋体" w:hAnsi="宋体"/>
          <w:bCs/>
          <w:color w:val="000000" w:themeColor="text1"/>
          <w:sz w:val="24"/>
          <w:highlight w:val="none"/>
          <w14:textFill>
            <w14:solidFill>
              <w14:schemeClr w14:val="tx1"/>
            </w14:solidFill>
          </w14:textFill>
        </w:rPr>
        <w:t>。</w:t>
      </w:r>
    </w:p>
    <w:p w14:paraId="680708A4">
      <w:pPr>
        <w:pStyle w:val="46"/>
        <w:numPr>
          <w:ilvl w:val="1"/>
          <w:numId w:val="2"/>
        </w:numPr>
        <w:adjustRightInd w:val="0"/>
        <w:snapToGrid w:val="0"/>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本项目将于上述同一时间、地点进行唱价，</w:t>
      </w:r>
      <w:r>
        <w:rPr>
          <w:rFonts w:hint="eastAsia" w:ascii="宋体" w:hAnsi="宋体"/>
          <w:color w:val="000000" w:themeColor="text1"/>
          <w:spacing w:val="2"/>
          <w:sz w:val="24"/>
          <w:highlight w:val="none"/>
          <w14:textFill>
            <w14:solidFill>
              <w14:schemeClr w14:val="tx1"/>
            </w14:solidFill>
          </w14:textFill>
        </w:rPr>
        <w:t>比选人/比选代理机构</w:t>
      </w:r>
      <w:r>
        <w:rPr>
          <w:rFonts w:hint="eastAsia" w:ascii="宋体" w:hAnsi="宋体"/>
          <w:color w:val="000000" w:themeColor="text1"/>
          <w:sz w:val="24"/>
          <w:highlight w:val="none"/>
          <w14:textFill>
            <w14:solidFill>
              <w14:schemeClr w14:val="tx1"/>
            </w14:solidFill>
          </w14:textFill>
        </w:rPr>
        <w:t>邀请参选人的法定代表人或者其委托代理人准时参加。</w:t>
      </w:r>
    </w:p>
    <w:p w14:paraId="70E374E2">
      <w:pPr>
        <w:pStyle w:val="46"/>
        <w:numPr>
          <w:ilvl w:val="1"/>
          <w:numId w:val="2"/>
        </w:numPr>
        <w:adjustRightInd w:val="0"/>
        <w:snapToGrid w:val="0"/>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出现以下情形时，</w:t>
      </w:r>
      <w:r>
        <w:rPr>
          <w:rFonts w:hint="eastAsia" w:ascii="宋体" w:hAnsi="宋体"/>
          <w:color w:val="000000" w:themeColor="text1"/>
          <w:spacing w:val="2"/>
          <w:sz w:val="24"/>
          <w:highlight w:val="none"/>
          <w14:textFill>
            <w14:solidFill>
              <w14:schemeClr w14:val="tx1"/>
            </w14:solidFill>
          </w14:textFill>
        </w:rPr>
        <w:t>比选人/比选代理机构</w:t>
      </w:r>
      <w:r>
        <w:rPr>
          <w:rFonts w:hint="eastAsia" w:ascii="宋体" w:hAnsi="宋体"/>
          <w:color w:val="000000" w:themeColor="text1"/>
          <w:sz w:val="24"/>
          <w:highlight w:val="none"/>
          <w14:textFill>
            <w14:solidFill>
              <w14:schemeClr w14:val="tx1"/>
            </w14:solidFill>
          </w14:textFill>
        </w:rPr>
        <w:t>不予接收参选文件：</w:t>
      </w:r>
    </w:p>
    <w:p w14:paraId="61080539">
      <w:pPr>
        <w:pStyle w:val="46"/>
        <w:numPr>
          <w:ilvl w:val="2"/>
          <w:numId w:val="2"/>
        </w:numPr>
        <w:tabs>
          <w:tab w:val="left" w:pos="1134"/>
        </w:tabs>
        <w:adjustRightInd w:val="0"/>
        <w:snapToGrid w:val="0"/>
        <w:spacing w:line="440" w:lineRule="exact"/>
        <w:ind w:left="0" w:firstLine="485" w:firstLineChars="199"/>
        <w:rPr>
          <w:rFonts w:hint="eastAsia" w:ascii="宋体" w:hAnsi="宋体"/>
          <w:color w:val="000000" w:themeColor="text1"/>
          <w:spacing w:val="2"/>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逾期送达或者未送达指定地点的；</w:t>
      </w:r>
    </w:p>
    <w:p w14:paraId="0BBD571E">
      <w:pPr>
        <w:pStyle w:val="46"/>
        <w:numPr>
          <w:ilvl w:val="2"/>
          <w:numId w:val="2"/>
        </w:numPr>
        <w:tabs>
          <w:tab w:val="left" w:pos="1134"/>
        </w:tabs>
        <w:adjustRightInd w:val="0"/>
        <w:snapToGrid w:val="0"/>
        <w:spacing w:line="440" w:lineRule="exact"/>
        <w:ind w:left="0" w:firstLine="485" w:firstLineChars="199"/>
        <w:rPr>
          <w:rFonts w:hint="eastAsia" w:ascii="宋体" w:hAnsi="宋体"/>
          <w:color w:val="000000" w:themeColor="text1"/>
          <w:spacing w:val="2"/>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未按照比选文件要求密封的；</w:t>
      </w:r>
    </w:p>
    <w:p w14:paraId="79C3D397">
      <w:pPr>
        <w:pStyle w:val="46"/>
        <w:numPr>
          <w:ilvl w:val="2"/>
          <w:numId w:val="2"/>
        </w:numPr>
        <w:tabs>
          <w:tab w:val="left" w:pos="1134"/>
        </w:tabs>
        <w:adjustRightInd w:val="0"/>
        <w:snapToGrid w:val="0"/>
        <w:spacing w:line="440" w:lineRule="exact"/>
        <w:ind w:left="0" w:firstLine="485" w:firstLineChars="199"/>
        <w:rPr>
          <w:rFonts w:hint="eastAsia" w:ascii="宋体" w:hAnsi="宋体"/>
          <w:color w:val="000000" w:themeColor="text1"/>
          <w:spacing w:val="2"/>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未按照本比选公告要求获得本项目比选文件的。</w:t>
      </w:r>
    </w:p>
    <w:p w14:paraId="689942D0">
      <w:pPr>
        <w:pStyle w:val="46"/>
        <w:numPr>
          <w:ilvl w:val="0"/>
          <w:numId w:val="2"/>
        </w:numPr>
        <w:adjustRightInd w:val="0"/>
        <w:snapToGrid w:val="0"/>
        <w:spacing w:line="440" w:lineRule="exact"/>
        <w:ind w:firstLineChars="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发布公告的媒介</w:t>
      </w:r>
    </w:p>
    <w:p w14:paraId="5AA5023F">
      <w:pPr>
        <w:pStyle w:val="46"/>
        <w:adjustRightInd w:val="0"/>
        <w:snapToGrid w:val="0"/>
        <w:spacing w:line="44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凡有意参加比选的供应商，请到重庆自然博物馆官网（https://www.cmnh.org.cn/）上下载本项目比选文件以及相关补遗等资料，无论参选人下载与否，均视为已知晓所有谈判内容。</w:t>
      </w:r>
    </w:p>
    <w:p w14:paraId="07541F2E">
      <w:pPr>
        <w:pStyle w:val="46"/>
        <w:numPr>
          <w:ilvl w:val="0"/>
          <w:numId w:val="2"/>
        </w:numPr>
        <w:adjustRightInd w:val="0"/>
        <w:snapToGrid w:val="0"/>
        <w:spacing w:line="440" w:lineRule="exact"/>
        <w:ind w:firstLineChars="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联系方式</w:t>
      </w:r>
    </w:p>
    <w:p w14:paraId="413CD797">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比选人：重庆自然博物馆</w:t>
      </w:r>
    </w:p>
    <w:p w14:paraId="56279851">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重庆市北碚区金华路398号</w:t>
      </w:r>
    </w:p>
    <w:p w14:paraId="480B3ACF">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联 系 人：池老师             </w:t>
      </w:r>
    </w:p>
    <w:p w14:paraId="71DBF9CD">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话：023-63521630           </w:t>
      </w:r>
    </w:p>
    <w:p w14:paraId="1F0B2F2D">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比选代理机构：重庆誉标项目管理有限公司</w:t>
      </w:r>
    </w:p>
    <w:p w14:paraId="0B1D9503">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址：重庆市北碚区北温泉街道嘉陵风情街17号9-9</w:t>
      </w:r>
    </w:p>
    <w:p w14:paraId="08EA4865">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 系 人：王老师</w:t>
      </w:r>
    </w:p>
    <w:p w14:paraId="1EE7F5ED">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话：18623169359 </w:t>
      </w:r>
    </w:p>
    <w:p w14:paraId="43D25785">
      <w:pPr>
        <w:pStyle w:val="46"/>
        <w:spacing w:line="400" w:lineRule="exact"/>
        <w:ind w:left="425" w:firstLine="0" w:firstLineChars="0"/>
        <w:rPr>
          <w:rFonts w:hint="eastAsia" w:ascii="宋体" w:hAnsi="宋体"/>
          <w:color w:val="000000" w:themeColor="text1"/>
          <w:sz w:val="24"/>
          <w:highlight w:val="none"/>
          <w14:textFill>
            <w14:solidFill>
              <w14:schemeClr w14:val="tx1"/>
            </w14:solidFill>
          </w14:textFill>
        </w:rPr>
      </w:pPr>
    </w:p>
    <w:p w14:paraId="77745BA9">
      <w:pPr>
        <w:widowControl/>
        <w:jc w:val="right"/>
        <w:rPr>
          <w:color w:val="000000" w:themeColor="text1"/>
          <w:sz w:val="24"/>
          <w:highlight w:val="none"/>
          <w14:textFill>
            <w14:solidFill>
              <w14:schemeClr w14:val="tx1"/>
            </w14:solidFill>
          </w14:textFill>
        </w:rPr>
      </w:pPr>
      <w:bookmarkStart w:id="11" w:name="_Toc447265213"/>
      <w:bookmarkStart w:id="12" w:name="_Toc390271863"/>
      <w:bookmarkStart w:id="13" w:name="_Toc447265499"/>
      <w:bookmarkStart w:id="14" w:name="_Toc447188664"/>
    </w:p>
    <w:bookmarkEnd w:id="11"/>
    <w:bookmarkEnd w:id="12"/>
    <w:bookmarkEnd w:id="13"/>
    <w:bookmarkEnd w:id="14"/>
    <w:p w14:paraId="45ED5423">
      <w:pPr>
        <w:rPr>
          <w:color w:val="000000" w:themeColor="text1"/>
          <w:highlight w:val="none"/>
          <w14:textFill>
            <w14:solidFill>
              <w14:schemeClr w14:val="tx1"/>
            </w14:solidFill>
          </w14:textFill>
        </w:rPr>
      </w:pPr>
      <w:bookmarkStart w:id="15" w:name="_Toc447265214"/>
      <w:bookmarkStart w:id="16" w:name="_Toc447265500"/>
      <w:bookmarkStart w:id="17" w:name="_Toc447188665"/>
      <w:r>
        <w:rPr>
          <w:color w:val="000000" w:themeColor="text1"/>
          <w:highlight w:val="none"/>
          <w14:textFill>
            <w14:solidFill>
              <w14:schemeClr w14:val="tx1"/>
            </w14:solidFill>
          </w14:textFill>
        </w:rPr>
        <w:br w:type="page"/>
      </w:r>
    </w:p>
    <w:p w14:paraId="3CC1925D">
      <w:pPr>
        <w:pStyle w:val="45"/>
        <w:spacing w:before="240" w:after="120"/>
        <w:rPr>
          <w:rFonts w:hint="eastAsia" w:ascii="宋体" w:hAnsi="宋体" w:eastAsia="宋体" w:cs="宋体"/>
          <w:b/>
          <w:color w:val="000000" w:themeColor="text1"/>
          <w:sz w:val="24"/>
          <w:szCs w:val="24"/>
          <w:highlight w:val="none"/>
          <w14:textFill>
            <w14:solidFill>
              <w14:schemeClr w14:val="tx1"/>
            </w14:solidFill>
          </w14:textFill>
        </w:rPr>
      </w:pPr>
      <w:bookmarkStart w:id="18" w:name="_Toc8427"/>
      <w:r>
        <w:rPr>
          <w:rFonts w:hint="eastAsia" w:ascii="宋体" w:hAnsi="宋体" w:eastAsia="宋体" w:cs="宋体"/>
          <w:b/>
          <w:bCs w:val="0"/>
          <w:color w:val="000000" w:themeColor="text1"/>
          <w:kern w:val="0"/>
          <w:sz w:val="24"/>
          <w:szCs w:val="24"/>
          <w:highlight w:val="none"/>
          <w14:textFill>
            <w14:solidFill>
              <w14:schemeClr w14:val="tx1"/>
            </w14:solidFill>
          </w14:textFill>
        </w:rPr>
        <w:t>第二章</w:t>
      </w:r>
      <w:r>
        <w:rPr>
          <w:rFonts w:ascii="宋体" w:hAnsi="宋体" w:eastAsia="宋体" w:cs="宋体"/>
          <w:b/>
          <w:bCs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b/>
          <w:bCs w:val="0"/>
          <w:color w:val="000000" w:themeColor="text1"/>
          <w:kern w:val="0"/>
          <w:sz w:val="24"/>
          <w:szCs w:val="24"/>
          <w:highlight w:val="none"/>
          <w14:textFill>
            <w14:solidFill>
              <w14:schemeClr w14:val="tx1"/>
            </w14:solidFill>
          </w14:textFill>
        </w:rPr>
        <w:t>参选人须知</w:t>
      </w:r>
      <w:bookmarkEnd w:id="15"/>
      <w:bookmarkEnd w:id="16"/>
      <w:bookmarkEnd w:id="17"/>
      <w:bookmarkEnd w:id="18"/>
    </w:p>
    <w:p w14:paraId="6918D6D8">
      <w:pPr>
        <w:pStyle w:val="3"/>
        <w:snapToGrid w:val="0"/>
        <w:spacing w:before="240" w:after="120" w:line="240" w:lineRule="auto"/>
        <w:rPr>
          <w:rFonts w:hint="eastAsia" w:ascii="宋体" w:hAnsi="宋体" w:eastAsia="宋体" w:cs="宋体"/>
          <w:color w:val="000000" w:themeColor="text1"/>
          <w:sz w:val="24"/>
          <w:szCs w:val="24"/>
          <w:highlight w:val="none"/>
          <w14:textFill>
            <w14:solidFill>
              <w14:schemeClr w14:val="tx1"/>
            </w14:solidFill>
          </w14:textFill>
        </w:rPr>
      </w:pPr>
      <w:bookmarkStart w:id="19" w:name="_Toc447265501"/>
      <w:bookmarkStart w:id="20" w:name="_Toc3493"/>
      <w:bookmarkStart w:id="21" w:name="_Toc227057884"/>
      <w:bookmarkStart w:id="22" w:name="_Toc226969277"/>
      <w:bookmarkStart w:id="23" w:name="_Toc447188666"/>
      <w:bookmarkStart w:id="24" w:name="_Toc447265215"/>
      <w:r>
        <w:rPr>
          <w:rFonts w:hint="eastAsia" w:ascii="宋体" w:hAnsi="宋体" w:eastAsia="宋体" w:cs="宋体"/>
          <w:b w:val="0"/>
          <w:bCs w:val="0"/>
          <w:color w:val="000000" w:themeColor="text1"/>
          <w:sz w:val="24"/>
          <w:szCs w:val="24"/>
          <w:highlight w:val="none"/>
          <w14:textFill>
            <w14:solidFill>
              <w14:schemeClr w14:val="tx1"/>
            </w14:solidFill>
          </w14:textFill>
        </w:rPr>
        <w:t>参选人须知前附表</w:t>
      </w:r>
      <w:bookmarkEnd w:id="19"/>
      <w:bookmarkEnd w:id="20"/>
      <w:bookmarkEnd w:id="21"/>
      <w:bookmarkEnd w:id="22"/>
      <w:bookmarkEnd w:id="23"/>
      <w:bookmarkEnd w:id="24"/>
    </w:p>
    <w:p w14:paraId="78F70D3C">
      <w:pPr>
        <w:autoSpaceDE w:val="0"/>
        <w:autoSpaceDN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本参选人须知前附表是对参选人须知正文的具体补充和修改，如有矛盾，以本前附表为准。</w:t>
      </w:r>
    </w:p>
    <w:tbl>
      <w:tblPr>
        <w:tblStyle w:val="38"/>
        <w:tblW w:w="8301"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666"/>
        <w:gridCol w:w="5795"/>
      </w:tblGrid>
      <w:tr w14:paraId="04AE9D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840" w:type="dxa"/>
            <w:vAlign w:val="center"/>
          </w:tcPr>
          <w:p w14:paraId="38C39ECC">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条款号</w:t>
            </w:r>
          </w:p>
        </w:tc>
        <w:tc>
          <w:tcPr>
            <w:tcW w:w="1666" w:type="dxa"/>
            <w:vAlign w:val="center"/>
          </w:tcPr>
          <w:p w14:paraId="43AFD672">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条款名称</w:t>
            </w:r>
          </w:p>
        </w:tc>
        <w:tc>
          <w:tcPr>
            <w:tcW w:w="5795" w:type="dxa"/>
            <w:vAlign w:val="center"/>
          </w:tcPr>
          <w:p w14:paraId="4BC2A130">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编列内容</w:t>
            </w:r>
          </w:p>
        </w:tc>
      </w:tr>
      <w:tr w14:paraId="32B002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9CDF983">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r>
              <w:rPr>
                <w:rFonts w:ascii="宋体" w:hAnsi="宋体" w:cs="宋体"/>
                <w:bCs/>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14:textFill>
                  <w14:solidFill>
                    <w14:schemeClr w14:val="tx1"/>
                  </w14:solidFill>
                </w14:textFill>
              </w:rPr>
              <w:t>2</w:t>
            </w:r>
          </w:p>
        </w:tc>
        <w:tc>
          <w:tcPr>
            <w:tcW w:w="1666" w:type="dxa"/>
            <w:vAlign w:val="center"/>
          </w:tcPr>
          <w:p w14:paraId="2DE9F53A">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比选人</w:t>
            </w:r>
          </w:p>
        </w:tc>
        <w:tc>
          <w:tcPr>
            <w:tcW w:w="5795" w:type="dxa"/>
            <w:vAlign w:val="center"/>
          </w:tcPr>
          <w:p w14:paraId="0371755C">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详见第一章“比选公告”</w:t>
            </w:r>
          </w:p>
        </w:tc>
      </w:tr>
      <w:tr w14:paraId="115AED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552EABA">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r>
              <w:rPr>
                <w:rFonts w:ascii="宋体" w:hAnsi="宋体" w:cs="宋体"/>
                <w:bCs/>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14:textFill>
                  <w14:solidFill>
                    <w14:schemeClr w14:val="tx1"/>
                  </w14:solidFill>
                </w14:textFill>
              </w:rPr>
              <w:t>3</w:t>
            </w:r>
          </w:p>
        </w:tc>
        <w:tc>
          <w:tcPr>
            <w:tcW w:w="1666" w:type="dxa"/>
            <w:vAlign w:val="center"/>
          </w:tcPr>
          <w:p w14:paraId="7903B21D">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比选项目名称</w:t>
            </w:r>
          </w:p>
        </w:tc>
        <w:tc>
          <w:tcPr>
            <w:tcW w:w="5795" w:type="dxa"/>
            <w:vAlign w:val="center"/>
          </w:tcPr>
          <w:p w14:paraId="1DD50CDB">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详见第一章“比选公告”</w:t>
            </w:r>
          </w:p>
        </w:tc>
      </w:tr>
      <w:tr w14:paraId="7E3741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843D33F">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1.3</w:t>
            </w:r>
          </w:p>
        </w:tc>
        <w:tc>
          <w:tcPr>
            <w:tcW w:w="1666" w:type="dxa"/>
            <w:vAlign w:val="center"/>
          </w:tcPr>
          <w:p w14:paraId="0D0C1073">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比选范围</w:t>
            </w:r>
          </w:p>
        </w:tc>
        <w:tc>
          <w:tcPr>
            <w:tcW w:w="5795" w:type="dxa"/>
            <w:vAlign w:val="center"/>
          </w:tcPr>
          <w:p w14:paraId="22DFC938">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详见第一章“比选公告”</w:t>
            </w:r>
          </w:p>
        </w:tc>
      </w:tr>
      <w:tr w14:paraId="0036FA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8C8B75E">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1.4</w:t>
            </w:r>
          </w:p>
        </w:tc>
        <w:tc>
          <w:tcPr>
            <w:tcW w:w="1666" w:type="dxa"/>
            <w:vAlign w:val="center"/>
          </w:tcPr>
          <w:p w14:paraId="372F6AFD">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分包划分</w:t>
            </w:r>
          </w:p>
        </w:tc>
        <w:tc>
          <w:tcPr>
            <w:tcW w:w="5795" w:type="dxa"/>
            <w:vAlign w:val="center"/>
          </w:tcPr>
          <w:p w14:paraId="31283D95">
            <w:pPr>
              <w:autoSpaceDE w:val="0"/>
              <w:autoSpaceDN w:val="0"/>
              <w:spacing w:line="276" w:lineRule="auto"/>
              <w:rPr>
                <w:rFonts w:hint="eastAsia" w:ascii="宋体" w:hAnsi="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☑不划分分包</w:t>
            </w:r>
          </w:p>
          <w:p w14:paraId="6FCF5684">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□划分</w:t>
            </w:r>
            <w:r>
              <w:rPr>
                <w:rFonts w:hint="eastAsia" w:ascii="宋体" w:hAnsi="宋体"/>
                <w:bCs/>
                <w:color w:val="000000" w:themeColor="text1"/>
                <w:sz w:val="24"/>
                <w:highlight w:val="none"/>
                <w14:textFill>
                  <w14:solidFill>
                    <w14:schemeClr w14:val="tx1"/>
                  </w14:solidFill>
                </w14:textFill>
              </w:rPr>
              <w:t>分包：分包划分情况详见第一章“比选公告”</w:t>
            </w:r>
          </w:p>
        </w:tc>
      </w:tr>
      <w:tr w14:paraId="2EE6F0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836723F">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1.5.1</w:t>
            </w:r>
          </w:p>
        </w:tc>
        <w:tc>
          <w:tcPr>
            <w:tcW w:w="1666" w:type="dxa"/>
            <w:vAlign w:val="center"/>
          </w:tcPr>
          <w:p w14:paraId="3BC9CD3B">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比选方式</w:t>
            </w:r>
          </w:p>
        </w:tc>
        <w:tc>
          <w:tcPr>
            <w:tcW w:w="5795" w:type="dxa"/>
            <w:vAlign w:val="center"/>
          </w:tcPr>
          <w:p w14:paraId="47D31957">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sym w:font="Wingdings" w:char="F0FE"/>
            </w:r>
            <w:r>
              <w:rPr>
                <w:rFonts w:hint="eastAsia" w:ascii="宋体" w:hAnsi="宋体" w:cs="宋体"/>
                <w:bCs/>
                <w:color w:val="000000" w:themeColor="text1"/>
                <w:sz w:val="24"/>
                <w:highlight w:val="none"/>
                <w14:textFill>
                  <w14:solidFill>
                    <w14:schemeClr w14:val="tx1"/>
                  </w14:solidFill>
                </w14:textFill>
              </w:rPr>
              <w:t>公开比选</w:t>
            </w:r>
          </w:p>
          <w:p w14:paraId="087FEE55">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□邀请比选</w:t>
            </w:r>
          </w:p>
        </w:tc>
      </w:tr>
      <w:tr w14:paraId="140782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CA6F124">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1.6</w:t>
            </w:r>
          </w:p>
        </w:tc>
        <w:tc>
          <w:tcPr>
            <w:tcW w:w="1666" w:type="dxa"/>
            <w:vAlign w:val="center"/>
          </w:tcPr>
          <w:p w14:paraId="5B7DDA74">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比选组织形式</w:t>
            </w:r>
          </w:p>
        </w:tc>
        <w:tc>
          <w:tcPr>
            <w:tcW w:w="5795" w:type="dxa"/>
            <w:vAlign w:val="center"/>
          </w:tcPr>
          <w:p w14:paraId="06326F08">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□自行比选</w:t>
            </w:r>
          </w:p>
          <w:p w14:paraId="57DA460B">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sym w:font="Wingdings" w:char="F0FE"/>
            </w:r>
            <w:r>
              <w:rPr>
                <w:rFonts w:hint="eastAsia" w:ascii="宋体" w:hAnsi="宋体" w:cs="宋体"/>
                <w:bCs/>
                <w:color w:val="000000" w:themeColor="text1"/>
                <w:sz w:val="24"/>
                <w:highlight w:val="none"/>
                <w14:textFill>
                  <w14:solidFill>
                    <w14:schemeClr w14:val="tx1"/>
                  </w14:solidFill>
                </w14:textFill>
              </w:rPr>
              <w:t>委托比选代理机构代理比选</w:t>
            </w:r>
          </w:p>
          <w:p w14:paraId="6BBE006A">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比选代理机构名称：重庆誉标项目管理有限公司</w:t>
            </w:r>
          </w:p>
          <w:p w14:paraId="7322DC57">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比选代理机构联系人：王老师</w:t>
            </w:r>
          </w:p>
          <w:p w14:paraId="1B6BDCEF">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比选代理机构电话：18623169359</w:t>
            </w:r>
          </w:p>
        </w:tc>
      </w:tr>
      <w:tr w14:paraId="5164B2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F34EB91">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1.7.1</w:t>
            </w:r>
          </w:p>
        </w:tc>
        <w:tc>
          <w:tcPr>
            <w:tcW w:w="1666" w:type="dxa"/>
            <w:vAlign w:val="center"/>
          </w:tcPr>
          <w:p w14:paraId="2C3E2738">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资格审查方式</w:t>
            </w:r>
          </w:p>
        </w:tc>
        <w:tc>
          <w:tcPr>
            <w:tcW w:w="5795" w:type="dxa"/>
            <w:vAlign w:val="center"/>
          </w:tcPr>
          <w:p w14:paraId="67734777">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□资格预审，本项目已完成资格预审。</w:t>
            </w:r>
          </w:p>
          <w:p w14:paraId="4C897BF1">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ascii="宋体" w:hAnsi="宋体" w:cs="宋体"/>
                <w:bCs/>
                <w:color w:val="000000" w:themeColor="text1"/>
                <w:sz w:val="24"/>
                <w:highlight w:val="none"/>
                <w14:textFill>
                  <w14:solidFill>
                    <w14:schemeClr w14:val="tx1"/>
                  </w14:solidFill>
                </w14:textFill>
              </w:rPr>
              <w:t>资格后审</w:t>
            </w:r>
            <w:r>
              <w:rPr>
                <w:rFonts w:hint="eastAsia" w:ascii="宋体" w:hAnsi="宋体" w:cs="宋体"/>
                <w:bCs/>
                <w:color w:val="000000" w:themeColor="text1"/>
                <w:sz w:val="24"/>
                <w:highlight w:val="none"/>
                <w14:textFill>
                  <w14:solidFill>
                    <w14:schemeClr w14:val="tx1"/>
                  </w14:solidFill>
                </w14:textFill>
              </w:rPr>
              <w:t>，资格条件详见第一章比选公告。</w:t>
            </w:r>
          </w:p>
        </w:tc>
      </w:tr>
      <w:tr w14:paraId="4A7FB8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F330647">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1.8</w:t>
            </w:r>
            <w:r>
              <w:rPr>
                <w:rFonts w:ascii="宋体" w:hAnsi="宋体" w:cs="宋体"/>
                <w:bCs/>
                <w:color w:val="000000" w:themeColor="text1"/>
                <w:sz w:val="24"/>
                <w:highlight w:val="none"/>
                <w14:textFill>
                  <w14:solidFill>
                    <w14:schemeClr w14:val="tx1"/>
                  </w14:solidFill>
                </w14:textFill>
              </w:rPr>
              <w:t>.1</w:t>
            </w:r>
          </w:p>
        </w:tc>
        <w:tc>
          <w:tcPr>
            <w:tcW w:w="1666" w:type="dxa"/>
            <w:vAlign w:val="center"/>
          </w:tcPr>
          <w:p w14:paraId="03848306">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参选人不得存在的其他情形</w:t>
            </w:r>
          </w:p>
        </w:tc>
        <w:tc>
          <w:tcPr>
            <w:tcW w:w="5795" w:type="dxa"/>
            <w:vAlign w:val="center"/>
          </w:tcPr>
          <w:p w14:paraId="0DA33D9F">
            <w:pPr>
              <w:spacing w:line="440" w:lineRule="exact"/>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详见第一章 </w:t>
            </w:r>
            <w:r>
              <w:rPr>
                <w:rFonts w:ascii="宋体" w:hAnsi="宋体"/>
                <w:bCs/>
                <w:color w:val="000000" w:themeColor="text1"/>
                <w:sz w:val="24"/>
                <w:highlight w:val="none"/>
                <w14:textFill>
                  <w14:solidFill>
                    <w14:schemeClr w14:val="tx1"/>
                  </w14:solidFill>
                </w14:textFill>
              </w:rPr>
              <w:t>比选公告</w:t>
            </w:r>
          </w:p>
        </w:tc>
      </w:tr>
      <w:tr w14:paraId="7C7697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0CF57DE">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2.1.1</w:t>
            </w:r>
          </w:p>
        </w:tc>
        <w:tc>
          <w:tcPr>
            <w:tcW w:w="1666" w:type="dxa"/>
            <w:vAlign w:val="center"/>
          </w:tcPr>
          <w:p w14:paraId="4D6AA1F6">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比选文件的组成</w:t>
            </w:r>
          </w:p>
        </w:tc>
        <w:tc>
          <w:tcPr>
            <w:tcW w:w="5795" w:type="dxa"/>
            <w:vAlign w:val="center"/>
          </w:tcPr>
          <w:p w14:paraId="0ED42AB2">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本条款替换为：/</w:t>
            </w:r>
          </w:p>
        </w:tc>
      </w:tr>
      <w:tr w14:paraId="4A13E8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C99235F">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2.1.4</w:t>
            </w:r>
          </w:p>
        </w:tc>
        <w:tc>
          <w:tcPr>
            <w:tcW w:w="1666" w:type="dxa"/>
            <w:vAlign w:val="center"/>
          </w:tcPr>
          <w:p w14:paraId="49EEDF09">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是否以单项报价核定低于成本</w:t>
            </w:r>
          </w:p>
        </w:tc>
        <w:tc>
          <w:tcPr>
            <w:tcW w:w="5795" w:type="dxa"/>
            <w:vAlign w:val="center"/>
          </w:tcPr>
          <w:p w14:paraId="6BEF28EB">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☑不要求</w:t>
            </w:r>
          </w:p>
          <w:p w14:paraId="5101B89B">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□要求，具体要求如下：</w:t>
            </w:r>
            <w:r>
              <w:rPr>
                <w:rFonts w:hint="eastAsia" w:ascii="宋体" w:hAnsi="宋体" w:cs="宋体"/>
                <w:bCs/>
                <w:color w:val="000000" w:themeColor="text1"/>
                <w:sz w:val="24"/>
                <w:highlight w:val="none"/>
                <w:u w:val="single"/>
                <w14:textFill>
                  <w14:solidFill>
                    <w14:schemeClr w14:val="tx1"/>
                  </w14:solidFill>
                </w14:textFill>
              </w:rPr>
              <w:t xml:space="preserve"> </w:t>
            </w:r>
            <w:r>
              <w:rPr>
                <w:rFonts w:ascii="宋体" w:hAnsi="宋体" w:cs="宋体"/>
                <w:bCs/>
                <w:color w:val="000000" w:themeColor="text1"/>
                <w:sz w:val="24"/>
                <w:highlight w:val="none"/>
                <w:u w:val="single"/>
                <w14:textFill>
                  <w14:solidFill>
                    <w14:schemeClr w14:val="tx1"/>
                  </w14:solidFill>
                </w14:textFill>
              </w:rPr>
              <w:t xml:space="preserve">          </w:t>
            </w:r>
          </w:p>
        </w:tc>
      </w:tr>
      <w:tr w14:paraId="748E4E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8C1C633">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2.2.1</w:t>
            </w:r>
          </w:p>
        </w:tc>
        <w:tc>
          <w:tcPr>
            <w:tcW w:w="1666" w:type="dxa"/>
            <w:vAlign w:val="center"/>
          </w:tcPr>
          <w:p w14:paraId="3CDD8265">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踏勘现场</w:t>
            </w:r>
          </w:p>
        </w:tc>
        <w:tc>
          <w:tcPr>
            <w:tcW w:w="5795" w:type="dxa"/>
            <w:vAlign w:val="center"/>
          </w:tcPr>
          <w:p w14:paraId="18E03DE0">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sym w:font="Wingdings" w:char="F0FE"/>
            </w:r>
            <w:r>
              <w:rPr>
                <w:rFonts w:hint="eastAsia" w:ascii="宋体" w:hAnsi="宋体" w:cs="宋体"/>
                <w:bCs/>
                <w:color w:val="000000" w:themeColor="text1"/>
                <w:sz w:val="24"/>
                <w:highlight w:val="none"/>
                <w14:textFill>
                  <w14:solidFill>
                    <w14:schemeClr w14:val="tx1"/>
                  </w14:solidFill>
                </w14:textFill>
              </w:rPr>
              <w:t>不组织</w:t>
            </w:r>
          </w:p>
          <w:p w14:paraId="6DB28467">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□组织，踏勘现场的时间、地点：</w:t>
            </w:r>
          </w:p>
        </w:tc>
      </w:tr>
      <w:tr w14:paraId="6715F8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2774035">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2.3</w:t>
            </w:r>
          </w:p>
        </w:tc>
        <w:tc>
          <w:tcPr>
            <w:tcW w:w="1666" w:type="dxa"/>
            <w:vAlign w:val="center"/>
          </w:tcPr>
          <w:p w14:paraId="03E6DDD7">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参选预备会</w:t>
            </w:r>
          </w:p>
        </w:tc>
        <w:tc>
          <w:tcPr>
            <w:tcW w:w="5795" w:type="dxa"/>
            <w:vAlign w:val="center"/>
          </w:tcPr>
          <w:p w14:paraId="4AD93781">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sym w:font="Wingdings" w:char="F0FE"/>
            </w:r>
            <w:r>
              <w:rPr>
                <w:rFonts w:hint="eastAsia" w:ascii="宋体" w:hAnsi="宋体" w:cs="宋体"/>
                <w:bCs/>
                <w:color w:val="000000" w:themeColor="text1"/>
                <w:sz w:val="24"/>
                <w:highlight w:val="none"/>
                <w14:textFill>
                  <w14:solidFill>
                    <w14:schemeClr w14:val="tx1"/>
                  </w14:solidFill>
                </w14:textFill>
              </w:rPr>
              <w:t>不召开</w:t>
            </w:r>
          </w:p>
          <w:p w14:paraId="0A3324C3">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□召开，召开参选预备会时间、地点：</w:t>
            </w:r>
          </w:p>
        </w:tc>
      </w:tr>
      <w:tr w14:paraId="3C3CFA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0EEE26B">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2.4.1</w:t>
            </w:r>
          </w:p>
        </w:tc>
        <w:tc>
          <w:tcPr>
            <w:tcW w:w="1666" w:type="dxa"/>
            <w:vAlign w:val="center"/>
          </w:tcPr>
          <w:p w14:paraId="7770FEBB">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参选人提出澄清问题的截止时间和方式</w:t>
            </w:r>
          </w:p>
        </w:tc>
        <w:tc>
          <w:tcPr>
            <w:tcW w:w="5795" w:type="dxa"/>
            <w:vAlign w:val="center"/>
          </w:tcPr>
          <w:p w14:paraId="44E9404C">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截止时间：2026年</w:t>
            </w: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月</w:t>
            </w:r>
            <w:r>
              <w:rPr>
                <w:rFonts w:hint="eastAsia" w:ascii="宋体" w:hAnsi="宋体" w:cs="宋体"/>
                <w:bCs/>
                <w:color w:val="000000" w:themeColor="text1"/>
                <w:sz w:val="24"/>
                <w:highlight w:val="none"/>
                <w:lang w:val="en-US" w:eastAsia="zh-CN"/>
                <w14:textFill>
                  <w14:solidFill>
                    <w14:schemeClr w14:val="tx1"/>
                  </w14:solidFill>
                </w14:textFill>
              </w:rPr>
              <w:t>16</w:t>
            </w:r>
            <w:r>
              <w:rPr>
                <w:rFonts w:hint="eastAsia" w:ascii="宋体" w:hAnsi="宋体" w:cs="宋体"/>
                <w:bCs/>
                <w:color w:val="000000" w:themeColor="text1"/>
                <w:sz w:val="24"/>
                <w:highlight w:val="none"/>
                <w14:textFill>
                  <w14:solidFill>
                    <w14:schemeClr w14:val="tx1"/>
                  </w14:solidFill>
                </w14:textFill>
              </w:rPr>
              <w:t>日</w:t>
            </w:r>
            <w:r>
              <w:rPr>
                <w:rFonts w:hint="eastAsia" w:ascii="宋体" w:hAnsi="宋体" w:cs="宋体"/>
                <w:bCs/>
                <w:color w:val="000000" w:themeColor="text1"/>
                <w:sz w:val="24"/>
                <w:highlight w:val="none"/>
                <w:lang w:val="en-US" w:eastAsia="zh-CN"/>
                <w14:textFill>
                  <w14:solidFill>
                    <w14:schemeClr w14:val="tx1"/>
                  </w14:solidFill>
                </w14:textFill>
              </w:rPr>
              <w:t>17</w:t>
            </w:r>
            <w:r>
              <w:rPr>
                <w:rFonts w:hint="eastAsia" w:ascii="宋体" w:hAnsi="宋体" w:cs="宋体"/>
                <w:bCs/>
                <w:color w:val="000000" w:themeColor="text1"/>
                <w:sz w:val="24"/>
                <w:highlight w:val="none"/>
                <w14:textFill>
                  <w14:solidFill>
                    <w14:schemeClr w14:val="tx1"/>
                  </w14:solidFill>
                </w14:textFill>
              </w:rPr>
              <w:t>时</w:t>
            </w:r>
            <w:r>
              <w:rPr>
                <w:rFonts w:hint="eastAsia" w:ascii="宋体" w:hAnsi="宋体" w:cs="宋体"/>
                <w:bCs/>
                <w:color w:val="000000" w:themeColor="text1"/>
                <w:sz w:val="24"/>
                <w:highlight w:val="none"/>
                <w:lang w:val="en-US" w:eastAsia="zh-CN"/>
                <w14:textFill>
                  <w14:solidFill>
                    <w14:schemeClr w14:val="tx1"/>
                  </w14:solidFill>
                </w14:textFill>
              </w:rPr>
              <w:t>00</w:t>
            </w:r>
            <w:r>
              <w:rPr>
                <w:rFonts w:hint="eastAsia" w:ascii="宋体" w:hAnsi="宋体" w:cs="宋体"/>
                <w:bCs/>
                <w:color w:val="000000" w:themeColor="text1"/>
                <w:sz w:val="24"/>
                <w:highlight w:val="none"/>
                <w14:textFill>
                  <w14:solidFill>
                    <w14:schemeClr w14:val="tx1"/>
                  </w14:solidFill>
                </w14:textFill>
              </w:rPr>
              <w:t>分（北京时间）</w:t>
            </w:r>
          </w:p>
          <w:p w14:paraId="435480E5">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提出澄清的方式：书面方式</w:t>
            </w:r>
          </w:p>
          <w:p w14:paraId="1BE1B081">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参选人在收到比选文件后，应尽快仔细检查比选文件的所有内容，如存在错、漏、缺和有可能出现歧义的内容等，应将澄清问题向比选人或比选代理机构提出。</w:t>
            </w:r>
          </w:p>
        </w:tc>
      </w:tr>
      <w:tr w14:paraId="13E607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A54F02D">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4.2</w:t>
            </w:r>
          </w:p>
        </w:tc>
        <w:tc>
          <w:tcPr>
            <w:tcW w:w="1666" w:type="dxa"/>
            <w:vAlign w:val="center"/>
          </w:tcPr>
          <w:p w14:paraId="778EB18E">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比选人发出比选文件澄清或者修改的截止时间和方式</w:t>
            </w:r>
          </w:p>
        </w:tc>
        <w:tc>
          <w:tcPr>
            <w:tcW w:w="5795" w:type="dxa"/>
            <w:vAlign w:val="center"/>
          </w:tcPr>
          <w:p w14:paraId="383E922B">
            <w:pPr>
              <w:autoSpaceDE w:val="0"/>
              <w:autoSpaceDN w:val="0"/>
              <w:spacing w:line="276" w:lineRule="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截止时间：参选截止时间</w:t>
            </w:r>
            <w:r>
              <w:rPr>
                <w:rFonts w:hint="eastAsia" w:ascii="宋体" w:hAnsi="宋体" w:cs="宋体"/>
                <w:bCs/>
                <w:color w:val="000000" w:themeColor="text1"/>
                <w:sz w:val="24"/>
                <w:highlight w:val="none"/>
                <w:lang w:val="en-US" w:eastAsia="zh-CN"/>
                <w14:textFill>
                  <w14:solidFill>
                    <w14:schemeClr w14:val="tx1"/>
                  </w14:solidFill>
                </w14:textFill>
              </w:rPr>
              <w:t>前。</w:t>
            </w:r>
          </w:p>
          <w:p w14:paraId="537A3F95">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发出澄清或者修改的方式：书面方式。</w:t>
            </w:r>
          </w:p>
        </w:tc>
      </w:tr>
      <w:tr w14:paraId="42D813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AB2FC72">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2.4.4</w:t>
            </w:r>
          </w:p>
        </w:tc>
        <w:tc>
          <w:tcPr>
            <w:tcW w:w="1666" w:type="dxa"/>
            <w:vAlign w:val="center"/>
          </w:tcPr>
          <w:p w14:paraId="3F8B9BB3">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参选人确认收到澄清或者修改的时间和方式</w:t>
            </w:r>
          </w:p>
        </w:tc>
        <w:tc>
          <w:tcPr>
            <w:tcW w:w="5795" w:type="dxa"/>
            <w:vAlign w:val="center"/>
          </w:tcPr>
          <w:p w14:paraId="69E0E649">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确认收到澄清或者修改的时间：比选文件澄清发出24小时以内</w:t>
            </w:r>
          </w:p>
          <w:p w14:paraId="73EF6A90">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确认收到澄清或者修改的方式：书面方式。</w:t>
            </w:r>
          </w:p>
        </w:tc>
      </w:tr>
      <w:tr w14:paraId="091CA6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6775C9C">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w:t>
            </w:r>
          </w:p>
        </w:tc>
        <w:tc>
          <w:tcPr>
            <w:tcW w:w="1666" w:type="dxa"/>
            <w:vAlign w:val="center"/>
          </w:tcPr>
          <w:p w14:paraId="5C28D68A">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参选文件组成</w:t>
            </w:r>
          </w:p>
        </w:tc>
        <w:tc>
          <w:tcPr>
            <w:tcW w:w="5795" w:type="dxa"/>
            <w:vAlign w:val="center"/>
          </w:tcPr>
          <w:p w14:paraId="25BB4E5E">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参选文件必须按照以下顺序编制（本条款十分重要，请遵照办理）：</w:t>
            </w:r>
          </w:p>
          <w:p w14:paraId="1DBA24A6">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参照比选</w:t>
            </w:r>
            <w:r>
              <w:rPr>
                <w:rFonts w:ascii="宋体" w:hAnsi="宋体" w:cs="宋体"/>
                <w:bCs/>
                <w:color w:val="000000" w:themeColor="text1"/>
                <w:sz w:val="24"/>
                <w:highlight w:val="none"/>
                <w14:textFill>
                  <w14:solidFill>
                    <w14:schemeClr w14:val="tx1"/>
                  </w14:solidFill>
                </w14:textFill>
              </w:rPr>
              <w:t>文件</w:t>
            </w:r>
            <w:r>
              <w:rPr>
                <w:rFonts w:hint="eastAsia" w:ascii="宋体" w:hAnsi="宋体" w:cs="宋体"/>
                <w:bCs/>
                <w:color w:val="000000" w:themeColor="text1"/>
                <w:sz w:val="24"/>
                <w:highlight w:val="none"/>
                <w14:textFill>
                  <w14:solidFill>
                    <w14:schemeClr w14:val="tx1"/>
                  </w14:solidFill>
                </w14:textFill>
              </w:rPr>
              <w:t>第六章“参选文件格式”。</w:t>
            </w:r>
          </w:p>
        </w:tc>
      </w:tr>
      <w:tr w14:paraId="714069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B1E382D">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3.2.2</w:t>
            </w:r>
          </w:p>
        </w:tc>
        <w:tc>
          <w:tcPr>
            <w:tcW w:w="1666" w:type="dxa"/>
            <w:vAlign w:val="center"/>
          </w:tcPr>
          <w:p w14:paraId="415DD750">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参选文件应答和编写</w:t>
            </w:r>
          </w:p>
        </w:tc>
        <w:tc>
          <w:tcPr>
            <w:tcW w:w="5795" w:type="dxa"/>
            <w:vAlign w:val="center"/>
          </w:tcPr>
          <w:p w14:paraId="4819DE0C">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本条款增加以下规定：</w:t>
            </w:r>
          </w:p>
          <w:p w14:paraId="23683EDD">
            <w:pPr>
              <w:autoSpaceDE w:val="0"/>
              <w:autoSpaceDN w:val="0"/>
              <w:spacing w:line="276"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参选文件应答和编写的具体要求如下：</w:t>
            </w:r>
            <w:r>
              <w:rPr>
                <w:rFonts w:hint="eastAsia" w:ascii="宋体" w:hAnsi="宋体" w:cs="宋体"/>
                <w:bCs/>
                <w:color w:val="000000" w:themeColor="text1"/>
                <w:sz w:val="24"/>
                <w:highlight w:val="none"/>
                <w14:textFill>
                  <w14:solidFill>
                    <w14:schemeClr w14:val="tx1"/>
                  </w14:solidFill>
                </w14:textFill>
              </w:rPr>
              <w:t>参照比选文件第六章“参选文件格式”。</w:t>
            </w:r>
          </w:p>
        </w:tc>
      </w:tr>
      <w:tr w14:paraId="08499D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F116761">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w:t>
            </w:r>
          </w:p>
        </w:tc>
        <w:tc>
          <w:tcPr>
            <w:tcW w:w="1666" w:type="dxa"/>
            <w:vAlign w:val="center"/>
          </w:tcPr>
          <w:p w14:paraId="69B7CC94">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参选文件的盖章或者签字</w:t>
            </w:r>
          </w:p>
        </w:tc>
        <w:tc>
          <w:tcPr>
            <w:tcW w:w="5795" w:type="dxa"/>
            <w:vAlign w:val="center"/>
          </w:tcPr>
          <w:p w14:paraId="4B302986">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本条款增加以下规定：</w:t>
            </w:r>
          </w:p>
          <w:p w14:paraId="11B5D8C4">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1、参选函、法定代表人/负责人授权委托书（如有）、参选一览表须盖单位公章，其中法定代表人/负责人授权委托书还须由法定代表人和其委托代理人签字或盖章。</w:t>
            </w:r>
          </w:p>
        </w:tc>
      </w:tr>
      <w:tr w14:paraId="4980D8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59" w:hRule="atLeast"/>
        </w:trPr>
        <w:tc>
          <w:tcPr>
            <w:tcW w:w="840" w:type="dxa"/>
            <w:vAlign w:val="center"/>
          </w:tcPr>
          <w:p w14:paraId="0B3CC5A6">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3.3.6</w:t>
            </w:r>
          </w:p>
        </w:tc>
        <w:tc>
          <w:tcPr>
            <w:tcW w:w="1666" w:type="dxa"/>
            <w:vAlign w:val="center"/>
          </w:tcPr>
          <w:p w14:paraId="35773364">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参选报价具体要求</w:t>
            </w:r>
          </w:p>
        </w:tc>
        <w:tc>
          <w:tcPr>
            <w:tcW w:w="5795" w:type="dxa"/>
            <w:vAlign w:val="center"/>
          </w:tcPr>
          <w:p w14:paraId="38FB651C">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本条款增加以下规定：</w:t>
            </w:r>
          </w:p>
          <w:p w14:paraId="1F62BE96">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zh-CN"/>
                <w14:textFill>
                  <w14:solidFill>
                    <w14:schemeClr w14:val="tx1"/>
                  </w14:solidFill>
                </w14:textFill>
              </w:rPr>
              <w:t>1、报价要求：本次报价须为人民币报价，是</w:t>
            </w:r>
            <w:r>
              <w:rPr>
                <w:rFonts w:hint="eastAsia" w:ascii="宋体" w:hAnsi="宋体" w:cs="宋体"/>
                <w:bCs/>
                <w:color w:val="000000" w:themeColor="text1"/>
                <w:sz w:val="24"/>
                <w:highlight w:val="none"/>
                <w14:textFill>
                  <w14:solidFill>
                    <w14:schemeClr w14:val="tx1"/>
                  </w14:solidFill>
                </w14:textFill>
              </w:rPr>
              <w:t>参选人</w:t>
            </w:r>
            <w:r>
              <w:rPr>
                <w:rFonts w:hint="eastAsia" w:ascii="宋体" w:hAnsi="宋体" w:cs="宋体"/>
                <w:bCs/>
                <w:color w:val="000000" w:themeColor="text1"/>
                <w:sz w:val="24"/>
                <w:highlight w:val="none"/>
                <w:lang w:val="zh-CN"/>
                <w14:textFill>
                  <w14:solidFill>
                    <w14:schemeClr w14:val="tx1"/>
                  </w14:solidFill>
                </w14:textFill>
              </w:rPr>
              <w:t>每</w:t>
            </w:r>
            <w:r>
              <w:rPr>
                <w:rFonts w:hint="eastAsia" w:ascii="宋体" w:hAnsi="宋体" w:cs="宋体"/>
                <w:bCs/>
                <w:color w:val="000000" w:themeColor="text1"/>
                <w:sz w:val="24"/>
                <w:highlight w:val="none"/>
                <w14:textFill>
                  <w14:solidFill>
                    <w14:schemeClr w14:val="tx1"/>
                  </w14:solidFill>
                </w14:textFill>
              </w:rPr>
              <w:t>年</w:t>
            </w:r>
            <w:r>
              <w:rPr>
                <w:rFonts w:hint="eastAsia" w:ascii="宋体" w:hAnsi="宋体" w:cs="宋体"/>
                <w:bCs/>
                <w:color w:val="000000" w:themeColor="text1"/>
                <w:sz w:val="24"/>
                <w:highlight w:val="none"/>
                <w:lang w:val="zh-CN"/>
                <w14:textFill>
                  <w14:solidFill>
                    <w14:schemeClr w14:val="tx1"/>
                  </w14:solidFill>
                </w14:textFill>
              </w:rPr>
              <w:t>向比选人支付合作经营费的具体金额。</w:t>
            </w:r>
          </w:p>
          <w:p w14:paraId="2A364B0C">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2、报价格式：</w:t>
            </w:r>
          </w:p>
          <w:p w14:paraId="7FE9DAEE">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请参选人按第六章“参选一览表”格式填报。</w:t>
            </w:r>
          </w:p>
        </w:tc>
      </w:tr>
      <w:tr w14:paraId="0D731B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F0E7DF8">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3.4.1</w:t>
            </w:r>
          </w:p>
        </w:tc>
        <w:tc>
          <w:tcPr>
            <w:tcW w:w="1666" w:type="dxa"/>
            <w:vAlign w:val="center"/>
          </w:tcPr>
          <w:p w14:paraId="1A0381B1">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参选有效期</w:t>
            </w:r>
          </w:p>
        </w:tc>
        <w:tc>
          <w:tcPr>
            <w:tcW w:w="5795" w:type="dxa"/>
            <w:vAlign w:val="center"/>
          </w:tcPr>
          <w:p w14:paraId="13931AAD">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参选有效期：90天。</w:t>
            </w:r>
          </w:p>
        </w:tc>
      </w:tr>
      <w:tr w14:paraId="014BF9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3E8DC70">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3.5.1</w:t>
            </w:r>
          </w:p>
        </w:tc>
        <w:tc>
          <w:tcPr>
            <w:tcW w:w="1666" w:type="dxa"/>
            <w:vAlign w:val="center"/>
          </w:tcPr>
          <w:p w14:paraId="675D7007">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参选保证金递交要求和金额</w:t>
            </w:r>
          </w:p>
        </w:tc>
        <w:tc>
          <w:tcPr>
            <w:tcW w:w="5795" w:type="dxa"/>
            <w:vAlign w:val="center"/>
          </w:tcPr>
          <w:p w14:paraId="069FB75B">
            <w:pPr>
              <w:autoSpaceDE w:val="0"/>
              <w:autoSpaceDN w:val="0"/>
              <w:spacing w:line="276" w:lineRule="auto"/>
              <w:jc w:val="left"/>
              <w:rPr>
                <w:rFonts w:hint="eastAsia"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sym w:font="Wingdings" w:char="00A8"/>
            </w:r>
            <w:r>
              <w:rPr>
                <w:rFonts w:hint="eastAsia" w:ascii="宋体" w:hAnsi="宋体" w:cs="宋体"/>
                <w:bCs/>
                <w:color w:val="000000" w:themeColor="text1"/>
                <w:sz w:val="24"/>
                <w:highlight w:val="none"/>
                <w14:textFill>
                  <w14:solidFill>
                    <w14:schemeClr w14:val="tx1"/>
                  </w14:solidFill>
                </w14:textFill>
              </w:rPr>
              <w:t>要求提交参选保证金，参选保证金金额：/。</w:t>
            </w:r>
          </w:p>
          <w:p w14:paraId="3849C65F">
            <w:pPr>
              <w:autoSpaceDE w:val="0"/>
              <w:autoSpaceDN w:val="0"/>
              <w:spacing w:line="276"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☑无需提交参选保证金</w:t>
            </w:r>
          </w:p>
        </w:tc>
      </w:tr>
      <w:tr w14:paraId="41E467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AB794BB">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3.5.4</w:t>
            </w:r>
          </w:p>
        </w:tc>
        <w:tc>
          <w:tcPr>
            <w:tcW w:w="1666" w:type="dxa"/>
            <w:vAlign w:val="center"/>
          </w:tcPr>
          <w:p w14:paraId="4FD1AD10">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参选保证金不予退还的其他规定</w:t>
            </w:r>
          </w:p>
        </w:tc>
        <w:tc>
          <w:tcPr>
            <w:tcW w:w="5795" w:type="dxa"/>
            <w:vAlign w:val="center"/>
          </w:tcPr>
          <w:p w14:paraId="39E93008">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无。</w:t>
            </w:r>
          </w:p>
        </w:tc>
      </w:tr>
      <w:tr w14:paraId="1BAB50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27640E1">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3.6.1</w:t>
            </w:r>
          </w:p>
        </w:tc>
        <w:tc>
          <w:tcPr>
            <w:tcW w:w="1666" w:type="dxa"/>
            <w:vAlign w:val="center"/>
          </w:tcPr>
          <w:p w14:paraId="3DA3EE20">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备选参选方案</w:t>
            </w:r>
          </w:p>
        </w:tc>
        <w:tc>
          <w:tcPr>
            <w:tcW w:w="5795" w:type="dxa"/>
            <w:vAlign w:val="center"/>
          </w:tcPr>
          <w:p w14:paraId="54F31B2A">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sym w:font="Wingdings" w:char="F0FE"/>
            </w:r>
            <w:r>
              <w:rPr>
                <w:rFonts w:hint="eastAsia" w:ascii="宋体" w:hAnsi="宋体" w:cs="宋体"/>
                <w:bCs/>
                <w:color w:val="000000" w:themeColor="text1"/>
                <w:sz w:val="24"/>
                <w:highlight w:val="none"/>
                <w14:textFill>
                  <w14:solidFill>
                    <w14:schemeClr w14:val="tx1"/>
                  </w14:solidFill>
                </w14:textFill>
              </w:rPr>
              <w:t>不允许</w:t>
            </w:r>
          </w:p>
          <w:p w14:paraId="0D65F66C">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□允许</w:t>
            </w:r>
          </w:p>
        </w:tc>
      </w:tr>
      <w:tr w14:paraId="2A6166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6457C1E">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3.7.1</w:t>
            </w:r>
          </w:p>
        </w:tc>
        <w:tc>
          <w:tcPr>
            <w:tcW w:w="1666" w:type="dxa"/>
            <w:vAlign w:val="center"/>
          </w:tcPr>
          <w:p w14:paraId="02B73E61">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参选文件份数</w:t>
            </w:r>
          </w:p>
        </w:tc>
        <w:tc>
          <w:tcPr>
            <w:tcW w:w="5795" w:type="dxa"/>
            <w:vAlign w:val="center"/>
          </w:tcPr>
          <w:p w14:paraId="4AE0BA8C">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正本一份，副本一份，电子参选文件一份。</w:t>
            </w:r>
          </w:p>
        </w:tc>
      </w:tr>
      <w:tr w14:paraId="2ED00D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59C8A7A">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3.7.4</w:t>
            </w:r>
          </w:p>
        </w:tc>
        <w:tc>
          <w:tcPr>
            <w:tcW w:w="1666" w:type="dxa"/>
            <w:vAlign w:val="center"/>
          </w:tcPr>
          <w:p w14:paraId="1179535F">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参选文件的外层包封</w:t>
            </w:r>
          </w:p>
        </w:tc>
        <w:tc>
          <w:tcPr>
            <w:tcW w:w="5795" w:type="dxa"/>
            <w:vAlign w:val="center"/>
          </w:tcPr>
          <w:p w14:paraId="76803076">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本条款增加以下规定：</w:t>
            </w:r>
            <w:r>
              <w:rPr>
                <w:rFonts w:hint="eastAsia" w:ascii="宋体" w:hAnsi="宋体"/>
                <w:bCs/>
                <w:color w:val="000000" w:themeColor="text1"/>
                <w:sz w:val="24"/>
                <w:highlight w:val="none"/>
                <w:u w:val="single"/>
                <w14:textFill>
                  <w14:solidFill>
                    <w14:schemeClr w14:val="tx1"/>
                  </w14:solidFill>
                </w14:textFill>
              </w:rPr>
              <w:t>/</w:t>
            </w:r>
          </w:p>
        </w:tc>
      </w:tr>
      <w:tr w14:paraId="07C013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EA7057D">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3.7.6</w:t>
            </w:r>
          </w:p>
        </w:tc>
        <w:tc>
          <w:tcPr>
            <w:tcW w:w="1666" w:type="dxa"/>
            <w:vAlign w:val="center"/>
          </w:tcPr>
          <w:p w14:paraId="688A9B39">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参选文件的密封和标记要求</w:t>
            </w:r>
          </w:p>
        </w:tc>
        <w:tc>
          <w:tcPr>
            <w:tcW w:w="5795" w:type="dxa"/>
            <w:vAlign w:val="center"/>
          </w:tcPr>
          <w:p w14:paraId="2871BBA4">
            <w:pPr>
              <w:autoSpaceDE w:val="0"/>
              <w:autoSpaceDN w:val="0"/>
              <w:spacing w:line="276"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本条款增加如下规定：</w:t>
            </w:r>
          </w:p>
          <w:p w14:paraId="2E384591">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建议：</w:t>
            </w:r>
          </w:p>
          <w:p w14:paraId="3FD18DFD">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1、参选文件单独</w:t>
            </w:r>
            <w:r>
              <w:rPr>
                <w:rFonts w:hint="eastAsia" w:ascii="宋体" w:hAnsi="宋体"/>
                <w:bCs/>
                <w:color w:val="000000" w:themeColor="text1"/>
                <w:kern w:val="0"/>
                <w:sz w:val="24"/>
                <w:highlight w:val="none"/>
                <w14:textFill>
                  <w14:solidFill>
                    <w14:schemeClr w14:val="tx1"/>
                  </w14:solidFill>
                </w14:textFill>
              </w:rPr>
              <w:t>装订</w:t>
            </w:r>
            <w:r>
              <w:rPr>
                <w:rFonts w:hint="eastAsia" w:ascii="宋体" w:hAnsi="宋体" w:cs="宋体"/>
                <w:bCs/>
                <w:color w:val="000000" w:themeColor="text1"/>
                <w:sz w:val="24"/>
                <w:highlight w:val="none"/>
                <w14:textFill>
                  <w14:solidFill>
                    <w14:schemeClr w14:val="tx1"/>
                  </w14:solidFill>
                </w14:textFill>
              </w:rPr>
              <w:t>，须分正、副本分别成册固定装订（固定装订指不能随意拆装的装订，如拉杆夹或打孔装订均视为活页装订），须清楚地标明“正本”或“副本”，一旦正本和副本不一致，以正本为准。</w:t>
            </w:r>
          </w:p>
          <w:p w14:paraId="6540F33B">
            <w:pPr>
              <w:autoSpaceDE w:val="0"/>
              <w:autoSpaceDN w:val="0"/>
              <w:spacing w:line="276" w:lineRule="auto"/>
              <w:rPr>
                <w:rFonts w:hint="eastAsia" w:ascii="宋体" w:hAnsi="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2、参选人</w:t>
            </w:r>
            <w:r>
              <w:rPr>
                <w:rFonts w:hint="eastAsia" w:ascii="宋体" w:hAnsi="宋体"/>
                <w:bCs/>
                <w:color w:val="000000" w:themeColor="text1"/>
                <w:kern w:val="0"/>
                <w:sz w:val="24"/>
                <w:highlight w:val="none"/>
                <w14:textFill>
                  <w14:solidFill>
                    <w14:schemeClr w14:val="tx1"/>
                  </w14:solidFill>
                </w14:textFill>
              </w:rPr>
              <w:t>所有参选文件的电子文档按要求汇总后存储于一个U盘或光盘中，封装于独立的信封内提交。</w:t>
            </w:r>
          </w:p>
        </w:tc>
      </w:tr>
      <w:tr w14:paraId="73EAA1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EC63782">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4.1.1</w:t>
            </w:r>
          </w:p>
        </w:tc>
        <w:tc>
          <w:tcPr>
            <w:tcW w:w="1666" w:type="dxa"/>
            <w:vAlign w:val="center"/>
          </w:tcPr>
          <w:p w14:paraId="454C6199">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参选文件递交截止时间</w:t>
            </w:r>
          </w:p>
        </w:tc>
        <w:tc>
          <w:tcPr>
            <w:tcW w:w="5795" w:type="dxa"/>
            <w:vAlign w:val="center"/>
          </w:tcPr>
          <w:p w14:paraId="1E490FAA">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详见第一章“比选公告”</w:t>
            </w:r>
          </w:p>
        </w:tc>
      </w:tr>
      <w:tr w14:paraId="4DCDFA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B42CD46">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4.1.2</w:t>
            </w:r>
          </w:p>
        </w:tc>
        <w:tc>
          <w:tcPr>
            <w:tcW w:w="1666" w:type="dxa"/>
            <w:vAlign w:val="center"/>
          </w:tcPr>
          <w:p w14:paraId="1CC9B034">
            <w:pPr>
              <w:autoSpaceDE w:val="0"/>
              <w:autoSpaceDN w:val="0"/>
              <w:spacing w:line="276"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参选文件递交地点</w:t>
            </w:r>
          </w:p>
        </w:tc>
        <w:tc>
          <w:tcPr>
            <w:tcW w:w="5795" w:type="dxa"/>
            <w:vAlign w:val="center"/>
          </w:tcPr>
          <w:p w14:paraId="00797018">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详见第一章“比选公告”</w:t>
            </w:r>
          </w:p>
        </w:tc>
      </w:tr>
      <w:tr w14:paraId="27AA62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21D1E2A">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4.1.4</w:t>
            </w:r>
          </w:p>
        </w:tc>
        <w:tc>
          <w:tcPr>
            <w:tcW w:w="1666" w:type="dxa"/>
            <w:vAlign w:val="center"/>
          </w:tcPr>
          <w:p w14:paraId="621B1390">
            <w:pPr>
              <w:autoSpaceDE w:val="0"/>
              <w:autoSpaceDN w:val="0"/>
              <w:spacing w:line="276"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参选文件退还</w:t>
            </w:r>
          </w:p>
        </w:tc>
        <w:tc>
          <w:tcPr>
            <w:tcW w:w="5795" w:type="dxa"/>
            <w:vAlign w:val="center"/>
          </w:tcPr>
          <w:p w14:paraId="43CA6124">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☑不退还</w:t>
            </w:r>
          </w:p>
          <w:p w14:paraId="45FD7626">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sym w:font="Wingdings" w:char="00A8"/>
            </w:r>
            <w:r>
              <w:rPr>
                <w:rFonts w:hint="eastAsia" w:ascii="宋体" w:hAnsi="宋体" w:cs="宋体"/>
                <w:bCs/>
                <w:color w:val="000000" w:themeColor="text1"/>
                <w:sz w:val="24"/>
                <w:highlight w:val="none"/>
                <w14:textFill>
                  <w14:solidFill>
                    <w14:schemeClr w14:val="tx1"/>
                  </w14:solidFill>
                </w14:textFill>
              </w:rPr>
              <w:t>未</w:t>
            </w:r>
            <w:r>
              <w:rPr>
                <w:rFonts w:hint="eastAsia" w:ascii="宋体" w:hAnsi="宋体"/>
                <w:bCs/>
                <w:color w:val="000000" w:themeColor="text1"/>
                <w:sz w:val="24"/>
                <w:highlight w:val="none"/>
                <w14:textFill>
                  <w14:solidFill>
                    <w14:schemeClr w14:val="tx1"/>
                  </w14:solidFill>
                </w14:textFill>
              </w:rPr>
              <w:t>开封唱价时退还</w:t>
            </w:r>
          </w:p>
        </w:tc>
      </w:tr>
      <w:tr w14:paraId="161C46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E7E7DCE">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4.1.6</w:t>
            </w:r>
          </w:p>
        </w:tc>
        <w:tc>
          <w:tcPr>
            <w:tcW w:w="1666" w:type="dxa"/>
            <w:vAlign w:val="center"/>
          </w:tcPr>
          <w:p w14:paraId="65AD1F93">
            <w:pPr>
              <w:autoSpaceDE w:val="0"/>
              <w:autoSpaceDN w:val="0"/>
              <w:spacing w:line="276" w:lineRule="auto"/>
              <w:rPr>
                <w:rFonts w:hint="eastAsia" w:ascii="宋体" w:hAnsi="宋体"/>
                <w:bCs/>
                <w:color w:val="000000" w:themeColor="text1"/>
                <w:sz w:val="24"/>
                <w:highlight w:val="none"/>
                <w14:textFill>
                  <w14:solidFill>
                    <w14:schemeClr w14:val="tx1"/>
                  </w14:solidFill>
                </w14:textFill>
              </w:rPr>
            </w:pPr>
            <w:r>
              <w:rPr>
                <w:rFonts w:hint="eastAsia" w:hAnsi="宋体"/>
                <w:bCs/>
                <w:color w:val="000000" w:themeColor="text1"/>
                <w:sz w:val="24"/>
                <w:highlight w:val="none"/>
                <w14:textFill>
                  <w14:solidFill>
                    <w14:schemeClr w14:val="tx1"/>
                  </w14:solidFill>
                </w14:textFill>
              </w:rPr>
              <w:t>递交参选文件的参选人不足三家的处理原则</w:t>
            </w:r>
          </w:p>
        </w:tc>
        <w:tc>
          <w:tcPr>
            <w:tcW w:w="5795" w:type="dxa"/>
            <w:vAlign w:val="center"/>
          </w:tcPr>
          <w:p w14:paraId="3DA13F24">
            <w:pPr>
              <w:autoSpaceDE w:val="0"/>
              <w:autoSpaceDN w:val="0"/>
              <w:spacing w:line="276" w:lineRule="auto"/>
              <w:rPr>
                <w:bCs/>
                <w:color w:val="000000" w:themeColor="text1"/>
                <w:highlight w:val="none"/>
                <w14:textFill>
                  <w14:solidFill>
                    <w14:schemeClr w14:val="tx1"/>
                  </w14:solidFill>
                </w14:textFill>
              </w:rPr>
            </w:pPr>
            <w:r>
              <w:rPr>
                <w:rFonts w:hint="eastAsia" w:ascii="Segoe UI Symbol" w:hAnsi="Segoe UI Symbol" w:cs="Segoe UI Symbol"/>
                <w:bCs/>
                <w:color w:val="000000" w:themeColor="text1"/>
                <w:highlight w:val="none"/>
                <w14:textFill>
                  <w14:solidFill>
                    <w14:schemeClr w14:val="tx1"/>
                  </w14:solidFill>
                </w14:textFill>
              </w:rPr>
              <w:t>□</w:t>
            </w:r>
            <w:r>
              <w:rPr>
                <w:rFonts w:hint="eastAsia"/>
                <w:bCs/>
                <w:color w:val="000000" w:themeColor="text1"/>
                <w:highlight w:val="none"/>
                <w14:textFill>
                  <w14:solidFill>
                    <w14:schemeClr w14:val="tx1"/>
                  </w14:solidFill>
                </w14:textFill>
              </w:rPr>
              <w:t>递交参选文件的参选人为两家时，继续组织比选；递交参选文件的参选人为一家时，与其定向谈判，谈判成功即项目成交否则重新比选；无参选人递交参选文件，重新比选。</w:t>
            </w:r>
          </w:p>
          <w:p w14:paraId="6E0021C4">
            <w:pPr>
              <w:autoSpaceDE w:val="0"/>
              <w:autoSpaceDN w:val="0"/>
              <w:spacing w:line="276" w:lineRule="auto"/>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☑重新比选</w:t>
            </w:r>
          </w:p>
        </w:tc>
      </w:tr>
      <w:tr w14:paraId="74516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5C1D99A">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5.1</w:t>
            </w:r>
          </w:p>
        </w:tc>
        <w:tc>
          <w:tcPr>
            <w:tcW w:w="1666" w:type="dxa"/>
            <w:vAlign w:val="center"/>
          </w:tcPr>
          <w:p w14:paraId="08C5DCCA">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唱价时间和地点</w:t>
            </w:r>
          </w:p>
        </w:tc>
        <w:tc>
          <w:tcPr>
            <w:tcW w:w="5795" w:type="dxa"/>
            <w:vAlign w:val="center"/>
          </w:tcPr>
          <w:p w14:paraId="29B3DDD1">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同参选文件递交截止时间和地点。</w:t>
            </w:r>
          </w:p>
        </w:tc>
      </w:tr>
      <w:tr w14:paraId="573D1D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252C7E2">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6.4 </w:t>
            </w:r>
          </w:p>
        </w:tc>
        <w:tc>
          <w:tcPr>
            <w:tcW w:w="1666" w:type="dxa"/>
            <w:vAlign w:val="center"/>
          </w:tcPr>
          <w:p w14:paraId="6CCB20E9">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中选候选人推荐原则</w:t>
            </w:r>
          </w:p>
        </w:tc>
        <w:tc>
          <w:tcPr>
            <w:tcW w:w="5795" w:type="dxa"/>
            <w:vAlign w:val="center"/>
          </w:tcPr>
          <w:p w14:paraId="47BA7591">
            <w:pPr>
              <w:autoSpaceDE w:val="0"/>
              <w:autoSpaceDN w:val="0"/>
              <w:spacing w:line="276" w:lineRule="auto"/>
              <w:rPr>
                <w:rFonts w:hint="eastAsia" w:ascii="宋体" w:hAnsi="宋体"/>
                <w:bCs/>
                <w:color w:val="000000" w:themeColor="text1"/>
                <w:sz w:val="24"/>
                <w:highlight w:val="none"/>
                <w14:textFill>
                  <w14:solidFill>
                    <w14:schemeClr w14:val="tx1"/>
                  </w14:solidFill>
                </w14:textFill>
              </w:rPr>
            </w:pPr>
            <w:bookmarkStart w:id="25" w:name="_Toc346159396"/>
            <w:r>
              <w:rPr>
                <w:rFonts w:hint="eastAsia" w:ascii="宋体" w:hAnsi="宋体"/>
                <w:bCs/>
                <w:color w:val="000000" w:themeColor="text1"/>
                <w:sz w:val="24"/>
                <w:highlight w:val="none"/>
                <w14:textFill>
                  <w14:solidFill>
                    <w14:schemeClr w14:val="tx1"/>
                  </w14:solidFill>
                </w14:textFill>
              </w:rPr>
              <w:t>推荐原则如下：</w:t>
            </w:r>
            <w:bookmarkEnd w:id="25"/>
            <w:r>
              <w:rPr>
                <w:rFonts w:hint="eastAsia" w:ascii="宋体" w:hAnsi="宋体" w:cs="宋体"/>
                <w:bCs/>
                <w:color w:val="000000" w:themeColor="text1"/>
                <w:sz w:val="24"/>
                <w:highlight w:val="none"/>
                <w14:textFill>
                  <w14:solidFill>
                    <w14:schemeClr w14:val="tx1"/>
                  </w14:solidFill>
                </w14:textFill>
              </w:rPr>
              <w:t>详见第三章“评选办法”前附表</w:t>
            </w:r>
          </w:p>
        </w:tc>
      </w:tr>
      <w:tr w14:paraId="70B279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E9A2D2C">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1</w:t>
            </w:r>
            <w:r>
              <w:rPr>
                <w:rFonts w:ascii="宋体" w:hAnsi="宋体" w:cs="宋体"/>
                <w:bCs/>
                <w:color w:val="000000" w:themeColor="text1"/>
                <w:sz w:val="24"/>
                <w:highlight w:val="none"/>
                <w14:textFill>
                  <w14:solidFill>
                    <w14:schemeClr w14:val="tx1"/>
                  </w14:solidFill>
                </w14:textFill>
              </w:rPr>
              <w:t>.1</w:t>
            </w:r>
          </w:p>
        </w:tc>
        <w:tc>
          <w:tcPr>
            <w:tcW w:w="1666" w:type="dxa"/>
            <w:vAlign w:val="center"/>
          </w:tcPr>
          <w:p w14:paraId="5BC3EA24">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中选人数量</w:t>
            </w:r>
          </w:p>
        </w:tc>
        <w:tc>
          <w:tcPr>
            <w:tcW w:w="5795" w:type="dxa"/>
            <w:vAlign w:val="center"/>
          </w:tcPr>
          <w:p w14:paraId="05FA5C45">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中选人数量：</w:t>
            </w:r>
            <w:r>
              <w:rPr>
                <w:rFonts w:hint="eastAsia" w:ascii="宋体" w:hAnsi="宋体"/>
                <w:bCs/>
                <w:color w:val="000000" w:themeColor="text1"/>
                <w:sz w:val="24"/>
                <w:highlight w:val="none"/>
                <w:u w:val="single"/>
                <w14:textFill>
                  <w14:solidFill>
                    <w14:schemeClr w14:val="tx1"/>
                  </w14:solidFill>
                </w14:textFill>
              </w:rPr>
              <w:t xml:space="preserve"> 1</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人</w:t>
            </w:r>
          </w:p>
        </w:tc>
      </w:tr>
      <w:tr w14:paraId="3C9B41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9F8FE7B">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1</w:t>
            </w:r>
            <w:r>
              <w:rPr>
                <w:rFonts w:ascii="宋体" w:hAnsi="宋体" w:cs="宋体"/>
                <w:bCs/>
                <w:color w:val="000000" w:themeColor="text1"/>
                <w:sz w:val="24"/>
                <w:highlight w:val="none"/>
                <w14:textFill>
                  <w14:solidFill>
                    <w14:schemeClr w14:val="tx1"/>
                  </w14:solidFill>
                </w14:textFill>
              </w:rPr>
              <w:t>.2</w:t>
            </w:r>
          </w:p>
        </w:tc>
        <w:tc>
          <w:tcPr>
            <w:tcW w:w="1666" w:type="dxa"/>
            <w:vAlign w:val="center"/>
          </w:tcPr>
          <w:p w14:paraId="3047725A">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中选原则</w:t>
            </w:r>
          </w:p>
        </w:tc>
        <w:tc>
          <w:tcPr>
            <w:tcW w:w="5795" w:type="dxa"/>
            <w:vAlign w:val="center"/>
          </w:tcPr>
          <w:p w14:paraId="3FFAACFA">
            <w:pPr>
              <w:autoSpaceDE w:val="0"/>
              <w:autoSpaceDN w:val="0"/>
              <w:spacing w:line="276"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中选原则如下：</w:t>
            </w:r>
          </w:p>
          <w:p w14:paraId="0ECADB33">
            <w:pPr>
              <w:autoSpaceDE w:val="0"/>
              <w:autoSpaceDN w:val="0"/>
              <w:spacing w:line="276"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中选人数量：</w:t>
            </w:r>
            <w:r>
              <w:rPr>
                <w:rFonts w:hint="eastAsia" w:ascii="宋体" w:hAnsi="宋体"/>
                <w:bCs/>
                <w:color w:val="000000" w:themeColor="text1"/>
                <w:sz w:val="24"/>
                <w:highlight w:val="none"/>
                <w:u w:val="single"/>
                <w14:textFill>
                  <w14:solidFill>
                    <w14:schemeClr w14:val="tx1"/>
                  </w14:solidFill>
                </w14:textFill>
              </w:rPr>
              <w:t xml:space="preserve"> 1 </w:t>
            </w:r>
            <w:r>
              <w:rPr>
                <w:rFonts w:hint="eastAsia" w:ascii="宋体" w:hAnsi="宋体"/>
                <w:bCs/>
                <w:color w:val="000000" w:themeColor="text1"/>
                <w:sz w:val="24"/>
                <w:highlight w:val="none"/>
                <w14:textFill>
                  <w14:solidFill>
                    <w14:schemeClr w14:val="tx1"/>
                  </w14:solidFill>
                </w14:textFill>
              </w:rPr>
              <w:t>人</w:t>
            </w:r>
          </w:p>
          <w:p w14:paraId="1747E7FB">
            <w:pPr>
              <w:autoSpaceDE w:val="0"/>
              <w:autoSpaceDN w:val="0"/>
              <w:spacing w:line="276"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比选人根据评选委员会推荐的中选候选人确定合作经营费最高的中选候选人为中选人。</w:t>
            </w:r>
          </w:p>
        </w:tc>
      </w:tr>
      <w:tr w14:paraId="2970F2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23" w:hRule="atLeast"/>
        </w:trPr>
        <w:tc>
          <w:tcPr>
            <w:tcW w:w="840" w:type="dxa"/>
            <w:vAlign w:val="center"/>
          </w:tcPr>
          <w:p w14:paraId="2B270A3D">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7.1.3</w:t>
            </w:r>
          </w:p>
        </w:tc>
        <w:tc>
          <w:tcPr>
            <w:tcW w:w="1666" w:type="dxa"/>
            <w:vAlign w:val="center"/>
          </w:tcPr>
          <w:p w14:paraId="13C09942">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确定中选人的特殊情形</w:t>
            </w:r>
          </w:p>
        </w:tc>
        <w:tc>
          <w:tcPr>
            <w:tcW w:w="5795" w:type="dxa"/>
            <w:vAlign w:val="center"/>
          </w:tcPr>
          <w:p w14:paraId="5EC43D4F">
            <w:pPr>
              <w:autoSpaceDE w:val="0"/>
              <w:autoSpaceDN w:val="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比选人应在评选委员会推荐的中选候选人中确定中选人。在签订合同之前，中选人放弃中选或者不能履行合同的，比选人可以按照评选委员会提出的中选候选人名单确定其他中选候选人为中选人，也可以重新比选</w:t>
            </w:r>
          </w:p>
        </w:tc>
      </w:tr>
      <w:tr w14:paraId="74E3CC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vAlign w:val="center"/>
          </w:tcPr>
          <w:p w14:paraId="6D1C2959">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8.1.</w:t>
            </w:r>
            <w:r>
              <w:rPr>
                <w:rFonts w:ascii="宋体" w:hAnsi="宋体" w:cs="宋体"/>
                <w:bCs/>
                <w:color w:val="000000" w:themeColor="text1"/>
                <w:sz w:val="24"/>
                <w:highlight w:val="none"/>
                <w14:textFill>
                  <w14:solidFill>
                    <w14:schemeClr w14:val="tx1"/>
                  </w14:solidFill>
                </w14:textFill>
              </w:rPr>
              <w:t>1</w:t>
            </w:r>
          </w:p>
        </w:tc>
        <w:tc>
          <w:tcPr>
            <w:tcW w:w="1666" w:type="dxa"/>
            <w:vAlign w:val="center"/>
          </w:tcPr>
          <w:p w14:paraId="6C6B377C">
            <w:pPr>
              <w:autoSpaceDE w:val="0"/>
              <w:autoSpaceDN w:val="0"/>
              <w:spacing w:line="276"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履约保证金金额和形式</w:t>
            </w:r>
          </w:p>
        </w:tc>
        <w:tc>
          <w:tcPr>
            <w:tcW w:w="5795" w:type="dxa"/>
            <w:vAlign w:val="center"/>
          </w:tcPr>
          <w:p w14:paraId="683C8F7F">
            <w:pPr>
              <w:autoSpaceDE w:val="0"/>
              <w:autoSpaceDN w:val="0"/>
              <w:spacing w:line="276"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履约保证金金额：/</w:t>
            </w:r>
          </w:p>
          <w:p w14:paraId="7659FA49">
            <w:pPr>
              <w:autoSpaceDE w:val="0"/>
              <w:autoSpaceDN w:val="0"/>
              <w:spacing w:line="276" w:lineRule="auto"/>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履约保证金形式：/</w:t>
            </w:r>
          </w:p>
        </w:tc>
      </w:tr>
      <w:tr w14:paraId="680E4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21954B6">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9</w:t>
            </w:r>
          </w:p>
        </w:tc>
        <w:tc>
          <w:tcPr>
            <w:tcW w:w="1666" w:type="dxa"/>
            <w:vAlign w:val="center"/>
          </w:tcPr>
          <w:p w14:paraId="00D3B98A">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比选代理服务费金额、交纳方式和时限</w:t>
            </w:r>
          </w:p>
        </w:tc>
        <w:tc>
          <w:tcPr>
            <w:tcW w:w="5795" w:type="dxa"/>
            <w:vAlign w:val="center"/>
          </w:tcPr>
          <w:p w14:paraId="55819A6E">
            <w:pPr>
              <w:autoSpaceDE w:val="0"/>
              <w:autoSpaceDN w:val="0"/>
              <w:spacing w:line="276" w:lineRule="auto"/>
              <w:rPr>
                <w:rFonts w:hint="eastAsia" w:ascii="宋体" w:hAnsi="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本条款增加如下规定：</w:t>
            </w:r>
            <w:bookmarkStart w:id="26" w:name="_Toc7195"/>
            <w:r>
              <w:rPr>
                <w:rFonts w:hint="eastAsia" w:ascii="宋体" w:hAnsi="宋体" w:cs="宋体"/>
                <w:bCs/>
                <w:color w:val="000000" w:themeColor="text1"/>
                <w:sz w:val="24"/>
                <w:highlight w:val="none"/>
                <w14:textFill>
                  <w14:solidFill>
                    <w14:schemeClr w14:val="tx1"/>
                  </w14:solidFill>
                </w14:textFill>
              </w:rPr>
              <w:t>以中标金额为计费基数，参照渝招投协〔2015〕11号收费标准的95%计取。由成交供应商在领取中标通知书前向代理机构一次性支付</w:t>
            </w:r>
            <w:bookmarkEnd w:id="26"/>
          </w:p>
        </w:tc>
      </w:tr>
      <w:tr w14:paraId="0FF236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7301D40">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w:t>
            </w:r>
          </w:p>
        </w:tc>
        <w:tc>
          <w:tcPr>
            <w:tcW w:w="1666" w:type="dxa"/>
            <w:vAlign w:val="center"/>
          </w:tcPr>
          <w:p w14:paraId="5BDED333">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需要补充的其他内容</w:t>
            </w:r>
          </w:p>
        </w:tc>
        <w:tc>
          <w:tcPr>
            <w:tcW w:w="5795" w:type="dxa"/>
            <w:vAlign w:val="center"/>
          </w:tcPr>
          <w:p w14:paraId="0E593927">
            <w:pPr>
              <w:autoSpaceDE w:val="0"/>
              <w:autoSpaceDN w:val="0"/>
              <w:spacing w:line="276"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r>
      <w:tr w14:paraId="5E491B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vAlign w:val="center"/>
          </w:tcPr>
          <w:p w14:paraId="5A287CD0">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比选文件否决参选条款汇总</w:t>
            </w:r>
          </w:p>
        </w:tc>
      </w:tr>
      <w:tr w14:paraId="2EF293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63" w:hRule="atLeast"/>
        </w:trPr>
        <w:tc>
          <w:tcPr>
            <w:tcW w:w="840" w:type="dxa"/>
            <w:tcBorders>
              <w:top w:val="single" w:color="auto" w:sz="4" w:space="0"/>
              <w:bottom w:val="single" w:color="auto" w:sz="4" w:space="0"/>
            </w:tcBorders>
            <w:vAlign w:val="center"/>
          </w:tcPr>
          <w:p w14:paraId="35C2BBDB">
            <w:pPr>
              <w:jc w:val="center"/>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第一章  比选公告</w:t>
            </w:r>
          </w:p>
        </w:tc>
        <w:tc>
          <w:tcPr>
            <w:tcW w:w="1666" w:type="dxa"/>
            <w:tcBorders>
              <w:bottom w:val="single" w:color="auto" w:sz="4" w:space="0"/>
            </w:tcBorders>
            <w:vAlign w:val="center"/>
          </w:tcPr>
          <w:p w14:paraId="0AAD9455">
            <w:pPr>
              <w:autoSpaceDE w:val="0"/>
              <w:autoSpaceDN w:val="0"/>
              <w:spacing w:line="276"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合作经营费</w:t>
            </w:r>
          </w:p>
        </w:tc>
        <w:tc>
          <w:tcPr>
            <w:tcW w:w="5795" w:type="dxa"/>
            <w:tcBorders>
              <w:bottom w:val="single" w:color="auto" w:sz="4" w:space="0"/>
            </w:tcBorders>
            <w:vAlign w:val="center"/>
          </w:tcPr>
          <w:p w14:paraId="40203734">
            <w:pPr>
              <w:autoSpaceDE w:val="0"/>
              <w:autoSpaceDN w:val="0"/>
              <w:spacing w:line="276" w:lineRule="auto"/>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本项目设置最低合作经营费，合作经营费最低为人民币35万元/年，参选人参选报价低于最低合作经营费的，其参选将被否决。</w:t>
            </w:r>
          </w:p>
        </w:tc>
      </w:tr>
      <w:tr w14:paraId="51A72F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77" w:hRule="atLeast"/>
        </w:trPr>
        <w:tc>
          <w:tcPr>
            <w:tcW w:w="840" w:type="dxa"/>
            <w:vMerge w:val="restart"/>
            <w:tcBorders>
              <w:top w:val="single" w:color="auto" w:sz="4" w:space="0"/>
            </w:tcBorders>
            <w:vAlign w:val="center"/>
          </w:tcPr>
          <w:p w14:paraId="2B1D8F2B">
            <w:pPr>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第二章参选人须知</w:t>
            </w:r>
          </w:p>
        </w:tc>
        <w:tc>
          <w:tcPr>
            <w:tcW w:w="1666" w:type="dxa"/>
            <w:tcBorders>
              <w:top w:val="single" w:color="auto" w:sz="4" w:space="0"/>
            </w:tcBorders>
            <w:vAlign w:val="center"/>
          </w:tcPr>
          <w:p w14:paraId="280A4116">
            <w:pPr>
              <w:autoSpaceDE w:val="0"/>
              <w:autoSpaceDN w:val="0"/>
              <w:spacing w:line="276"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1.7资格审查</w:t>
            </w:r>
          </w:p>
        </w:tc>
        <w:tc>
          <w:tcPr>
            <w:tcW w:w="5795" w:type="dxa"/>
            <w:tcBorders>
              <w:top w:val="single" w:color="auto" w:sz="4" w:space="0"/>
            </w:tcBorders>
            <w:vAlign w:val="center"/>
          </w:tcPr>
          <w:p w14:paraId="2C6FA204">
            <w:pPr>
              <w:autoSpaceDE w:val="0"/>
              <w:autoSpaceDN w:val="0"/>
              <w:spacing w:line="276" w:lineRule="auto"/>
              <w:jc w:val="left"/>
              <w:rPr>
                <w:rFonts w:hint="eastAsia" w:hAnsi="宋体"/>
                <w:bCs/>
                <w:color w:val="000000" w:themeColor="text1"/>
                <w:sz w:val="24"/>
                <w:highlight w:val="none"/>
                <w14:textFill>
                  <w14:solidFill>
                    <w14:schemeClr w14:val="tx1"/>
                  </w14:solidFill>
                </w14:textFill>
              </w:rPr>
            </w:pPr>
            <w:r>
              <w:rPr>
                <w:rFonts w:hint="eastAsia" w:hAnsi="宋体"/>
                <w:bCs/>
                <w:color w:val="000000" w:themeColor="text1"/>
                <w:sz w:val="24"/>
                <w:highlight w:val="none"/>
                <w14:textFill>
                  <w14:solidFill>
                    <w14:schemeClr w14:val="tx1"/>
                  </w14:solidFill>
                </w14:textFill>
              </w:rPr>
              <w:t>资格后审不合格的参选人，评选委员会应当否决其参选。</w:t>
            </w:r>
          </w:p>
        </w:tc>
      </w:tr>
      <w:tr w14:paraId="36B747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15DD9B01">
            <w:pPr>
              <w:jc w:val="left"/>
              <w:rPr>
                <w:rFonts w:hint="eastAsia" w:ascii="宋体" w:hAnsi="宋体" w:cs="宋体"/>
                <w:bCs/>
                <w:color w:val="000000" w:themeColor="text1"/>
                <w:sz w:val="24"/>
                <w:highlight w:val="none"/>
                <w14:textFill>
                  <w14:solidFill>
                    <w14:schemeClr w14:val="tx1"/>
                  </w14:solidFill>
                </w14:textFill>
              </w:rPr>
            </w:pPr>
          </w:p>
        </w:tc>
        <w:tc>
          <w:tcPr>
            <w:tcW w:w="1666" w:type="dxa"/>
            <w:vAlign w:val="center"/>
          </w:tcPr>
          <w:p w14:paraId="719038F2">
            <w:pPr>
              <w:autoSpaceDE w:val="0"/>
              <w:autoSpaceDN w:val="0"/>
              <w:spacing w:line="276"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3.2.2参选文件应答和编写（具体要求见前附表3.2.2）</w:t>
            </w:r>
          </w:p>
        </w:tc>
        <w:tc>
          <w:tcPr>
            <w:tcW w:w="5795" w:type="dxa"/>
            <w:vAlign w:val="center"/>
          </w:tcPr>
          <w:p w14:paraId="44E595F9">
            <w:pPr>
              <w:autoSpaceDE w:val="0"/>
              <w:autoSpaceDN w:val="0"/>
              <w:spacing w:line="276" w:lineRule="auto"/>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参选人应当认真阅读比选文件中所有的事项、格式、条款和技术规范等。参选人没有按照比选文件要求递交全部资料或者参选人没有对比选文件在各方面都作出实质性响应是参选人的风险，并可能导致其参选被否决。</w:t>
            </w:r>
          </w:p>
        </w:tc>
      </w:tr>
      <w:tr w14:paraId="54D6ED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0353B44">
            <w:pPr>
              <w:jc w:val="left"/>
              <w:rPr>
                <w:rFonts w:hint="eastAsia" w:ascii="宋体" w:hAnsi="宋体" w:cs="宋体"/>
                <w:bCs/>
                <w:color w:val="000000" w:themeColor="text1"/>
                <w:sz w:val="24"/>
                <w:highlight w:val="none"/>
                <w14:textFill>
                  <w14:solidFill>
                    <w14:schemeClr w14:val="tx1"/>
                  </w14:solidFill>
                </w14:textFill>
              </w:rPr>
            </w:pPr>
          </w:p>
        </w:tc>
        <w:tc>
          <w:tcPr>
            <w:tcW w:w="1666" w:type="dxa"/>
            <w:vAlign w:val="center"/>
          </w:tcPr>
          <w:p w14:paraId="052F7174">
            <w:pPr>
              <w:autoSpaceDE w:val="0"/>
              <w:autoSpaceDN w:val="0"/>
              <w:spacing w:line="276"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3.4.1参选有效期</w:t>
            </w:r>
          </w:p>
        </w:tc>
        <w:tc>
          <w:tcPr>
            <w:tcW w:w="5795" w:type="dxa"/>
            <w:vAlign w:val="center"/>
          </w:tcPr>
          <w:p w14:paraId="08202924">
            <w:pPr>
              <w:autoSpaceDE w:val="0"/>
              <w:autoSpaceDN w:val="0"/>
              <w:spacing w:line="276" w:lineRule="auto"/>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参选有效期不满足比选文件要求的参选将被否决。</w:t>
            </w:r>
          </w:p>
        </w:tc>
      </w:tr>
      <w:tr w14:paraId="3CACC6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546E5D6A">
            <w:pPr>
              <w:jc w:val="left"/>
              <w:rPr>
                <w:rFonts w:hint="eastAsia" w:ascii="宋体" w:hAnsi="宋体" w:cs="宋体"/>
                <w:bCs/>
                <w:color w:val="000000" w:themeColor="text1"/>
                <w:sz w:val="24"/>
                <w:highlight w:val="none"/>
                <w14:textFill>
                  <w14:solidFill>
                    <w14:schemeClr w14:val="tx1"/>
                  </w14:solidFill>
                </w14:textFill>
              </w:rPr>
            </w:pPr>
          </w:p>
        </w:tc>
        <w:tc>
          <w:tcPr>
            <w:tcW w:w="1666" w:type="dxa"/>
            <w:vAlign w:val="center"/>
          </w:tcPr>
          <w:p w14:paraId="29029A54">
            <w:pPr>
              <w:autoSpaceDE w:val="0"/>
              <w:autoSpaceDN w:val="0"/>
              <w:spacing w:line="276"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3.5.5参选保证金</w:t>
            </w:r>
          </w:p>
        </w:tc>
        <w:tc>
          <w:tcPr>
            <w:tcW w:w="5795" w:type="dxa"/>
            <w:vAlign w:val="center"/>
          </w:tcPr>
          <w:p w14:paraId="63E754CA">
            <w:pPr>
              <w:autoSpaceDE w:val="0"/>
              <w:autoSpaceDN w:val="0"/>
              <w:spacing w:line="276" w:lineRule="auto"/>
              <w:jc w:val="left"/>
              <w:rPr>
                <w:rFonts w:hint="eastAsia" w:ascii="宋体" w:hAnsi="宋体"/>
                <w:bCs/>
                <w:color w:val="000000" w:themeColor="text1"/>
                <w:sz w:val="24"/>
                <w:highlight w:val="none"/>
                <w14:textFill>
                  <w14:solidFill>
                    <w14:schemeClr w14:val="tx1"/>
                  </w14:solidFill>
                </w14:textFill>
              </w:rPr>
            </w:pPr>
            <w:r>
              <w:rPr>
                <w:rFonts w:hint="eastAsia" w:hAnsi="宋体"/>
                <w:bCs/>
                <w:color w:val="000000" w:themeColor="text1"/>
                <w:sz w:val="24"/>
                <w:highlight w:val="none"/>
                <w14:textFill>
                  <w14:solidFill>
                    <w14:schemeClr w14:val="tx1"/>
                  </w14:solidFill>
                </w14:textFill>
              </w:rPr>
              <w:t>未递交参选保证金或者递交的参选保证金有瑕疵的参选将被否决。</w:t>
            </w:r>
          </w:p>
        </w:tc>
      </w:tr>
      <w:tr w14:paraId="0B5989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4B3A171D">
            <w:pPr>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第三章评选办法</w:t>
            </w:r>
          </w:p>
        </w:tc>
        <w:tc>
          <w:tcPr>
            <w:tcW w:w="1666" w:type="dxa"/>
            <w:vAlign w:val="center"/>
          </w:tcPr>
          <w:p w14:paraId="0E958AAE">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3.1.1 初步评审</w:t>
            </w:r>
          </w:p>
        </w:tc>
        <w:tc>
          <w:tcPr>
            <w:tcW w:w="5795" w:type="dxa"/>
            <w:vAlign w:val="center"/>
          </w:tcPr>
          <w:p w14:paraId="19F5F235">
            <w:pPr>
              <w:autoSpaceDE w:val="0"/>
              <w:autoSpaceDN w:val="0"/>
              <w:spacing w:line="276" w:lineRule="auto"/>
              <w:jc w:val="left"/>
              <w:rPr>
                <w:rFonts w:hint="eastAsia" w:ascii="宋体" w:hAnsi="宋体"/>
                <w:bCs/>
                <w:color w:val="000000" w:themeColor="text1"/>
                <w:sz w:val="24"/>
                <w:highlight w:val="none"/>
                <w14:textFill>
                  <w14:solidFill>
                    <w14:schemeClr w14:val="tx1"/>
                  </w14:solidFill>
                </w14:textFill>
              </w:rPr>
            </w:pPr>
            <w:r>
              <w:rPr>
                <w:rFonts w:hint="eastAsia" w:hAnsi="宋体"/>
                <w:bCs/>
                <w:color w:val="000000" w:themeColor="text1"/>
                <w:sz w:val="24"/>
                <w:highlight w:val="none"/>
                <w14:textFill>
                  <w14:solidFill>
                    <w14:schemeClr w14:val="tx1"/>
                  </w14:solidFill>
                </w14:textFill>
              </w:rPr>
              <w:t>评选委员会根据第三章第2.1款规定的初步评审标准对参选文件进行初步评审。有一项不符合评审标准的，评选委员会应当否决其参选。</w:t>
            </w:r>
          </w:p>
        </w:tc>
      </w:tr>
      <w:tr w14:paraId="357A54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04F0B72E">
            <w:pPr>
              <w:rPr>
                <w:rFonts w:hint="eastAsia" w:ascii="宋体" w:hAnsi="宋体" w:cs="宋体"/>
                <w:bCs/>
                <w:color w:val="000000" w:themeColor="text1"/>
                <w:sz w:val="24"/>
                <w:highlight w:val="none"/>
                <w14:textFill>
                  <w14:solidFill>
                    <w14:schemeClr w14:val="tx1"/>
                  </w14:solidFill>
                </w14:textFill>
              </w:rPr>
            </w:pPr>
          </w:p>
        </w:tc>
        <w:tc>
          <w:tcPr>
            <w:tcW w:w="1666" w:type="dxa"/>
            <w:vAlign w:val="center"/>
          </w:tcPr>
          <w:p w14:paraId="21B010CB">
            <w:pPr>
              <w:autoSpaceDE w:val="0"/>
              <w:autoSpaceDN w:val="0"/>
              <w:spacing w:line="276"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3.1.2 初步评审</w:t>
            </w:r>
          </w:p>
        </w:tc>
        <w:tc>
          <w:tcPr>
            <w:tcW w:w="5795" w:type="dxa"/>
            <w:vAlign w:val="center"/>
          </w:tcPr>
          <w:p w14:paraId="7A80EE3F">
            <w:pPr>
              <w:pStyle w:val="21"/>
              <w:tabs>
                <w:tab w:val="left" w:pos="630"/>
              </w:tabs>
              <w:snapToGrid w:val="0"/>
              <w:spacing w:line="440" w:lineRule="exac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参选人有以下情形之一的，评选委员会应当否决其参选：</w:t>
            </w:r>
          </w:p>
          <w:p w14:paraId="3F40D10F">
            <w:pPr>
              <w:pStyle w:val="46"/>
              <w:tabs>
                <w:tab w:val="left" w:pos="993"/>
              </w:tabs>
              <w:adjustRightInd w:val="0"/>
              <w:snapToGrid w:val="0"/>
              <w:spacing w:line="440" w:lineRule="exact"/>
              <w:ind w:firstLine="0" w:firstLineChars="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(1)第二章“参选人须知”第1.8款规定的任何一种情形的；</w:t>
            </w:r>
          </w:p>
          <w:p w14:paraId="34A11520">
            <w:pPr>
              <w:pStyle w:val="46"/>
              <w:tabs>
                <w:tab w:val="left" w:pos="993"/>
              </w:tabs>
              <w:adjustRightInd w:val="0"/>
              <w:snapToGrid w:val="0"/>
              <w:spacing w:line="440" w:lineRule="exact"/>
              <w:ind w:firstLine="0" w:firstLineChars="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(2)不按照评选委员会要求澄清、说明或者补正的；</w:t>
            </w:r>
          </w:p>
          <w:p w14:paraId="22B43CF3">
            <w:pPr>
              <w:pStyle w:val="46"/>
              <w:tabs>
                <w:tab w:val="left" w:pos="993"/>
              </w:tabs>
              <w:adjustRightInd w:val="0"/>
              <w:snapToGrid w:val="0"/>
              <w:spacing w:line="440" w:lineRule="exact"/>
              <w:ind w:firstLine="0" w:firstLineChars="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(3)参选文件未按照比选文件要求盖章和签字；</w:t>
            </w:r>
          </w:p>
          <w:p w14:paraId="77930553">
            <w:pPr>
              <w:pStyle w:val="46"/>
              <w:tabs>
                <w:tab w:val="left" w:pos="993"/>
              </w:tabs>
              <w:adjustRightInd w:val="0"/>
              <w:snapToGrid w:val="0"/>
              <w:spacing w:line="440" w:lineRule="exact"/>
              <w:ind w:firstLine="0" w:firstLineChars="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ascii="宋体" w:hAnsi="宋体" w:cs="宋体"/>
                <w:bCs/>
                <w:color w:val="000000" w:themeColor="text1"/>
                <w:sz w:val="24"/>
                <w:highlight w:val="none"/>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)参选人不符合国家或者比选文件规定的资格条件；</w:t>
            </w:r>
          </w:p>
          <w:p w14:paraId="5E403331">
            <w:pPr>
              <w:pStyle w:val="46"/>
              <w:tabs>
                <w:tab w:val="left" w:pos="993"/>
              </w:tabs>
              <w:adjustRightInd w:val="0"/>
              <w:snapToGrid w:val="0"/>
              <w:spacing w:line="440" w:lineRule="exact"/>
              <w:ind w:firstLine="0" w:firstLineChars="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ascii="宋体" w:hAnsi="宋体" w:cs="宋体"/>
                <w:bCs/>
                <w:color w:val="000000" w:themeColor="text1"/>
                <w:sz w:val="24"/>
                <w:highlight w:val="none"/>
                <w14:textFill>
                  <w14:solidFill>
                    <w14:schemeClr w14:val="tx1"/>
                  </w14:solidFill>
                </w14:textFill>
              </w:rPr>
              <w:t>5</w:t>
            </w:r>
            <w:r>
              <w:rPr>
                <w:rFonts w:hint="eastAsia" w:ascii="宋体" w:hAnsi="宋体" w:cs="宋体"/>
                <w:bCs/>
                <w:color w:val="000000" w:themeColor="text1"/>
                <w:sz w:val="24"/>
                <w:highlight w:val="none"/>
                <w14:textFill>
                  <w14:solidFill>
                    <w14:schemeClr w14:val="tx1"/>
                  </w14:solidFill>
                </w14:textFill>
              </w:rPr>
              <w:t>)同一参选人递交两个以上不同的参选文件或者参选报价，但参选文件要求递交备选参选方案的除外；</w:t>
            </w:r>
          </w:p>
          <w:p w14:paraId="5FF8CA52">
            <w:pPr>
              <w:pStyle w:val="46"/>
              <w:tabs>
                <w:tab w:val="left" w:pos="993"/>
              </w:tabs>
              <w:adjustRightInd w:val="0"/>
              <w:snapToGrid w:val="0"/>
              <w:spacing w:line="440" w:lineRule="exact"/>
              <w:ind w:firstLine="0" w:firstLineChars="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ascii="宋体" w:hAnsi="宋体" w:cs="宋体"/>
                <w:bCs/>
                <w:color w:val="000000" w:themeColor="text1"/>
                <w:sz w:val="24"/>
                <w:highlight w:val="none"/>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)参选文件没有对比选文件的实质性要求和条件做出响应；</w:t>
            </w:r>
          </w:p>
          <w:p w14:paraId="66769EBA">
            <w:pPr>
              <w:pStyle w:val="46"/>
              <w:tabs>
                <w:tab w:val="left" w:pos="993"/>
              </w:tabs>
              <w:adjustRightInd w:val="0"/>
              <w:snapToGrid w:val="0"/>
              <w:spacing w:line="440" w:lineRule="exact"/>
              <w:ind w:firstLine="0" w:firstLineChars="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ascii="宋体" w:hAnsi="宋体" w:cs="宋体"/>
                <w:bCs/>
                <w:color w:val="000000" w:themeColor="text1"/>
                <w:sz w:val="24"/>
                <w:highlight w:val="none"/>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)参选人有串通参选、弄虚作假、行贿等违法行为；</w:t>
            </w:r>
          </w:p>
          <w:p w14:paraId="6FB437D5">
            <w:pPr>
              <w:pStyle w:val="46"/>
              <w:tabs>
                <w:tab w:val="left" w:pos="993"/>
              </w:tabs>
              <w:adjustRightInd w:val="0"/>
              <w:snapToGrid w:val="0"/>
              <w:spacing w:line="440" w:lineRule="exact"/>
              <w:ind w:firstLine="0" w:firstLineChars="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ascii="宋体" w:hAnsi="宋体" w:cs="宋体"/>
                <w:bCs/>
                <w:color w:val="000000" w:themeColor="text1"/>
                <w:sz w:val="24"/>
                <w:highlight w:val="none"/>
                <w14:textFill>
                  <w14:solidFill>
                    <w14:schemeClr w14:val="tx1"/>
                  </w14:solidFill>
                </w14:textFill>
              </w:rPr>
              <w:t>8</w:t>
            </w:r>
            <w:r>
              <w:rPr>
                <w:rFonts w:hint="eastAsia" w:ascii="宋体" w:hAnsi="宋体" w:cs="宋体"/>
                <w:bCs/>
                <w:color w:val="000000" w:themeColor="text1"/>
                <w:sz w:val="24"/>
                <w:highlight w:val="none"/>
                <w14:textFill>
                  <w14:solidFill>
                    <w14:schemeClr w14:val="tx1"/>
                  </w14:solidFill>
                </w14:textFill>
              </w:rPr>
              <w:t>)参选人以他人名义参选；</w:t>
            </w:r>
          </w:p>
          <w:p w14:paraId="6FCEE6A7">
            <w:pPr>
              <w:pStyle w:val="46"/>
              <w:tabs>
                <w:tab w:val="left" w:pos="993"/>
              </w:tabs>
              <w:adjustRightInd w:val="0"/>
              <w:snapToGrid w:val="0"/>
              <w:spacing w:line="440" w:lineRule="exact"/>
              <w:ind w:firstLine="0" w:firstLineChars="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ascii="宋体" w:hAnsi="宋体" w:cs="宋体"/>
                <w:bCs/>
                <w:color w:val="000000" w:themeColor="text1"/>
                <w:sz w:val="24"/>
                <w:highlight w:val="none"/>
                <w14:textFill>
                  <w14:solidFill>
                    <w14:schemeClr w14:val="tx1"/>
                  </w14:solidFill>
                </w14:textFill>
              </w:rPr>
              <w:t>9</w:t>
            </w:r>
            <w:r>
              <w:rPr>
                <w:rFonts w:hint="eastAsia" w:ascii="宋体" w:hAnsi="宋体" w:cs="宋体"/>
                <w:bCs/>
                <w:color w:val="000000" w:themeColor="text1"/>
                <w:sz w:val="24"/>
                <w:highlight w:val="none"/>
                <w14:textFill>
                  <w14:solidFill>
                    <w14:schemeClr w14:val="tx1"/>
                  </w14:solidFill>
                </w14:textFill>
              </w:rPr>
              <w:t>)没有按照比选文件要求提供比选担保或者所提供的参选担保有瑕疵；</w:t>
            </w:r>
          </w:p>
          <w:p w14:paraId="6F7393AB">
            <w:pPr>
              <w:pStyle w:val="46"/>
              <w:tabs>
                <w:tab w:val="left" w:pos="993"/>
              </w:tabs>
              <w:adjustRightInd w:val="0"/>
              <w:snapToGrid w:val="0"/>
              <w:spacing w:line="440" w:lineRule="exact"/>
              <w:ind w:firstLine="0" w:firstLineChars="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r>
              <w:rPr>
                <w:rFonts w:ascii="宋体" w:hAnsi="宋体" w:cs="宋体"/>
                <w:bCs/>
                <w:color w:val="000000" w:themeColor="text1"/>
                <w:sz w:val="24"/>
                <w:highlight w:val="none"/>
                <w14:textFill>
                  <w14:solidFill>
                    <w14:schemeClr w14:val="tx1"/>
                  </w14:solidFill>
                </w14:textFill>
              </w:rPr>
              <w:t>0</w:t>
            </w:r>
            <w:r>
              <w:rPr>
                <w:rFonts w:hint="eastAsia" w:ascii="宋体" w:hAnsi="宋体" w:cs="宋体"/>
                <w:bCs/>
                <w:color w:val="000000" w:themeColor="text1"/>
                <w:sz w:val="24"/>
                <w:highlight w:val="none"/>
                <w14:textFill>
                  <w14:solidFill>
                    <w14:schemeClr w14:val="tx1"/>
                  </w14:solidFill>
                </w14:textFill>
              </w:rPr>
              <w:t>)参选文件载明的比选项目完成期限超过比选文件规定的期限；</w:t>
            </w:r>
          </w:p>
          <w:p w14:paraId="3FF502D4">
            <w:pPr>
              <w:pStyle w:val="46"/>
              <w:tabs>
                <w:tab w:val="left" w:pos="993"/>
              </w:tabs>
              <w:adjustRightInd w:val="0"/>
              <w:snapToGrid w:val="0"/>
              <w:spacing w:line="440" w:lineRule="exact"/>
              <w:ind w:firstLine="0" w:firstLineChars="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r>
              <w:rPr>
                <w:rFonts w:ascii="宋体" w:hAnsi="宋体" w:cs="宋体"/>
                <w:bCs/>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14:textFill>
                  <w14:solidFill>
                    <w14:schemeClr w14:val="tx1"/>
                  </w14:solidFill>
                </w14:textFill>
              </w:rPr>
              <w:t>)参选文件附有比选人不能接受的条件；</w:t>
            </w:r>
          </w:p>
        </w:tc>
      </w:tr>
      <w:tr w14:paraId="0E349C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310EA279">
            <w:pPr>
              <w:rPr>
                <w:rFonts w:hint="eastAsia" w:ascii="宋体" w:hAnsi="宋体" w:cs="宋体"/>
                <w:bCs/>
                <w:color w:val="000000" w:themeColor="text1"/>
                <w:sz w:val="24"/>
                <w:highlight w:val="none"/>
                <w14:textFill>
                  <w14:solidFill>
                    <w14:schemeClr w14:val="tx1"/>
                  </w14:solidFill>
                </w14:textFill>
              </w:rPr>
            </w:pPr>
          </w:p>
        </w:tc>
        <w:tc>
          <w:tcPr>
            <w:tcW w:w="1666" w:type="dxa"/>
            <w:vAlign w:val="center"/>
          </w:tcPr>
          <w:p w14:paraId="197BD5F3">
            <w:pPr>
              <w:autoSpaceDE w:val="0"/>
              <w:autoSpaceDN w:val="0"/>
              <w:spacing w:line="276"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3.1.4 算术修正</w:t>
            </w:r>
          </w:p>
        </w:tc>
        <w:tc>
          <w:tcPr>
            <w:tcW w:w="5795" w:type="dxa"/>
            <w:vAlign w:val="center"/>
          </w:tcPr>
          <w:p w14:paraId="3ECB8486">
            <w:pPr>
              <w:autoSpaceDE w:val="0"/>
              <w:autoSpaceDN w:val="0"/>
              <w:jc w:val="left"/>
              <w:rPr>
                <w:rFonts w:hint="eastAsia" w:hAnsi="宋体"/>
                <w:bCs/>
                <w:color w:val="000000" w:themeColor="text1"/>
                <w:sz w:val="24"/>
                <w:highlight w:val="none"/>
                <w14:textFill>
                  <w14:solidFill>
                    <w14:schemeClr w14:val="tx1"/>
                  </w14:solidFill>
                </w14:textFill>
              </w:rPr>
            </w:pPr>
            <w:r>
              <w:rPr>
                <w:rFonts w:hint="eastAsia" w:hAnsi="宋体"/>
                <w:bCs/>
                <w:color w:val="000000" w:themeColor="text1"/>
                <w:sz w:val="24"/>
                <w:highlight w:val="none"/>
                <w14:textFill>
                  <w14:solidFill>
                    <w14:schemeClr w14:val="tx1"/>
                  </w14:solidFill>
                </w14:textFill>
              </w:rPr>
              <w:t>参选报价有算术错误的，评选委员会按照以下原则对参选报价进行修正，修正的价格经参选人书面确认后具有约束力。参选人不接受修正价格的，评选委员会应当否决其参选。</w:t>
            </w:r>
          </w:p>
          <w:p w14:paraId="20A7D9D4">
            <w:pPr>
              <w:adjustRightInd w:val="0"/>
              <w:snapToGrid w:val="0"/>
              <w:spacing w:line="440" w:lineRule="exact"/>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（1）参选文件中的大写金额与小写金额不一致的，以大写金额为准；</w:t>
            </w:r>
          </w:p>
          <w:p w14:paraId="625C68FD">
            <w:pPr>
              <w:autoSpaceDE w:val="0"/>
              <w:autoSpaceDN w:val="0"/>
              <w:spacing w:line="276" w:lineRule="auto"/>
              <w:jc w:val="left"/>
              <w:rPr>
                <w:rFonts w:hint="eastAsia" w:ascii="宋体" w:hAnsi="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（2）总价金额与根据单价计算出的结果不一致的，以单价金额为准修正总价，但单价金额小数点有明显错误的除外。</w:t>
            </w:r>
          </w:p>
        </w:tc>
      </w:tr>
    </w:tbl>
    <w:p w14:paraId="137738AE">
      <w:pPr>
        <w:pStyle w:val="35"/>
        <w:tabs>
          <w:tab w:val="left" w:pos="602"/>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sectPr>
          <w:footerReference r:id="rId11" w:type="first"/>
          <w:footerReference r:id="rId10" w:type="default"/>
          <w:pgSz w:w="11906" w:h="16838"/>
          <w:pgMar w:top="1440" w:right="1800" w:bottom="1440" w:left="1800" w:header="851" w:footer="992" w:gutter="0"/>
          <w:cols w:space="720" w:num="1"/>
          <w:titlePg/>
          <w:docGrid w:type="lines" w:linePitch="312" w:charSpace="0"/>
        </w:sectPr>
      </w:pPr>
      <w:bookmarkStart w:id="27" w:name="_Toc447188667"/>
      <w:bookmarkStart w:id="28" w:name="_Toc226969278"/>
      <w:bookmarkStart w:id="29" w:name="_Toc227057885"/>
      <w:bookmarkStart w:id="30" w:name="_Toc107822484"/>
      <w:bookmarkStart w:id="31" w:name="_Toc488655831"/>
    </w:p>
    <w:p w14:paraId="5FC6297A">
      <w:pPr>
        <w:pStyle w:val="35"/>
        <w:numPr>
          <w:ilvl w:val="0"/>
          <w:numId w:val="3"/>
        </w:numPr>
        <w:tabs>
          <w:tab w:val="left" w:pos="602"/>
        </w:tabs>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32" w:name="_Toc447265502"/>
      <w:bookmarkStart w:id="33" w:name="_Toc21509"/>
      <w:bookmarkStart w:id="34" w:name="_Toc447265216"/>
      <w:r>
        <w:rPr>
          <w:rFonts w:hint="eastAsia" w:ascii="宋体" w:hAnsi="宋体"/>
          <w:color w:val="000000" w:themeColor="text1"/>
          <w:sz w:val="24"/>
          <w:szCs w:val="24"/>
          <w:highlight w:val="none"/>
          <w14:textFill>
            <w14:solidFill>
              <w14:schemeClr w14:val="tx1"/>
            </w14:solidFill>
          </w14:textFill>
        </w:rPr>
        <w:t>总则</w:t>
      </w:r>
      <w:bookmarkEnd w:id="27"/>
      <w:bookmarkEnd w:id="32"/>
      <w:bookmarkEnd w:id="33"/>
      <w:bookmarkEnd w:id="34"/>
    </w:p>
    <w:p w14:paraId="503204FC">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35" w:name="_Toc447188668"/>
      <w:bookmarkStart w:id="36" w:name="_Toc246996919"/>
      <w:bookmarkStart w:id="37" w:name="_Toc296602421"/>
      <w:bookmarkStart w:id="38" w:name="_Toc179632547"/>
      <w:bookmarkStart w:id="39" w:name="_Toc447265503"/>
      <w:bookmarkStart w:id="40" w:name="_Toc447265217"/>
      <w:bookmarkStart w:id="41" w:name="_Toc152042306"/>
      <w:bookmarkStart w:id="42" w:name="_Toc152045530"/>
      <w:bookmarkStart w:id="43" w:name="_Toc144974498"/>
      <w:bookmarkStart w:id="44" w:name="_Toc247085690"/>
      <w:bookmarkStart w:id="45" w:name="_Toc246996176"/>
      <w:bookmarkStart w:id="46" w:name="_Toc2279"/>
      <w:r>
        <w:rPr>
          <w:rFonts w:hint="eastAsia" w:ascii="宋体" w:hAnsi="宋体"/>
          <w:color w:val="000000" w:themeColor="text1"/>
          <w:sz w:val="24"/>
          <w:szCs w:val="24"/>
          <w:highlight w:val="none"/>
          <w14:textFill>
            <w14:solidFill>
              <w14:schemeClr w14:val="tx1"/>
            </w14:solidFill>
          </w14:textFill>
        </w:rPr>
        <w:t>1.1项目概况</w:t>
      </w:r>
      <w:bookmarkEnd w:id="35"/>
      <w:bookmarkEnd w:id="36"/>
      <w:bookmarkEnd w:id="37"/>
      <w:bookmarkEnd w:id="38"/>
      <w:bookmarkEnd w:id="39"/>
      <w:bookmarkEnd w:id="40"/>
      <w:bookmarkEnd w:id="41"/>
      <w:bookmarkEnd w:id="42"/>
      <w:bookmarkEnd w:id="43"/>
      <w:bookmarkEnd w:id="44"/>
      <w:bookmarkEnd w:id="45"/>
      <w:bookmarkEnd w:id="46"/>
    </w:p>
    <w:bookmarkEnd w:id="28"/>
    <w:bookmarkEnd w:id="29"/>
    <w:p w14:paraId="29F62552">
      <w:pPr>
        <w:pStyle w:val="21"/>
        <w:tabs>
          <w:tab w:val="left" w:pos="630"/>
        </w:tabs>
        <w:snapToGrid w:val="0"/>
        <w:spacing w:line="440" w:lineRule="exact"/>
        <w:ind w:firstLine="484" w:firstLineChars="202"/>
        <w:rPr>
          <w:rFonts w:hint="eastAsia" w:hAnsi="宋体" w:cs="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r>
        <w:rPr>
          <w:rFonts w:hAnsi="宋体"/>
          <w:color w:val="000000" w:themeColor="text1"/>
          <w:sz w:val="24"/>
          <w:szCs w:val="24"/>
          <w:highlight w:val="none"/>
          <w14:textFill>
            <w14:solidFill>
              <w14:schemeClr w14:val="tx1"/>
            </w14:solidFill>
          </w14:textFill>
        </w:rPr>
        <w:t>1.1</w:t>
      </w:r>
      <w:r>
        <w:rPr>
          <w:rFonts w:hint="eastAsia" w:hAnsi="宋体"/>
          <w:color w:val="000000" w:themeColor="text1"/>
          <w:sz w:val="24"/>
          <w:szCs w:val="24"/>
          <w:highlight w:val="none"/>
          <w14:textFill>
            <w14:solidFill>
              <w14:schemeClr w14:val="tx1"/>
            </w14:solidFill>
          </w14:textFill>
        </w:rPr>
        <w:t>本比选项目已具备比选条件，现对本项目进行比选。</w:t>
      </w:r>
    </w:p>
    <w:p w14:paraId="6302723C">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1.1.2</w:t>
      </w:r>
      <w:r>
        <w:rPr>
          <w:rFonts w:hint="eastAsia" w:hAnsi="宋体"/>
          <w:color w:val="000000" w:themeColor="text1"/>
          <w:sz w:val="24"/>
          <w:szCs w:val="24"/>
          <w:highlight w:val="none"/>
          <w14:textFill>
            <w14:solidFill>
              <w14:schemeClr w14:val="tx1"/>
            </w14:solidFill>
          </w14:textFill>
        </w:rPr>
        <w:t>比选人：比选人单位名称及联系方式见参选人须知前附表。</w:t>
      </w:r>
    </w:p>
    <w:p w14:paraId="6FE55185">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.3项目名称：项目名称及比选编号见参选人须知前附表。</w:t>
      </w:r>
    </w:p>
    <w:p w14:paraId="4B754078">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47" w:name="_Toc226969279"/>
      <w:bookmarkStart w:id="48" w:name="_Toc227057886"/>
      <w:bookmarkStart w:id="49" w:name="_Toc447188669"/>
      <w:bookmarkStart w:id="50" w:name="_Toc2350"/>
      <w:bookmarkStart w:id="51" w:name="_Toc447265504"/>
      <w:bookmarkStart w:id="52" w:name="_Toc447265218"/>
      <w:r>
        <w:rPr>
          <w:rFonts w:ascii="宋体" w:hAnsi="宋体"/>
          <w:color w:val="000000" w:themeColor="text1"/>
          <w:sz w:val="24"/>
          <w:szCs w:val="24"/>
          <w:highlight w:val="none"/>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资金</w:t>
      </w:r>
      <w:bookmarkEnd w:id="47"/>
      <w:bookmarkEnd w:id="48"/>
      <w:bookmarkEnd w:id="49"/>
      <w:r>
        <w:rPr>
          <w:rFonts w:hint="eastAsia" w:ascii="宋体" w:hAnsi="宋体"/>
          <w:color w:val="000000" w:themeColor="text1"/>
          <w:sz w:val="24"/>
          <w:szCs w:val="24"/>
          <w:highlight w:val="none"/>
          <w14:textFill>
            <w14:solidFill>
              <w14:schemeClr w14:val="tx1"/>
            </w14:solidFill>
          </w14:textFill>
        </w:rPr>
        <w:t>落实情况</w:t>
      </w:r>
      <w:bookmarkEnd w:id="50"/>
      <w:bookmarkEnd w:id="51"/>
      <w:bookmarkEnd w:id="52"/>
    </w:p>
    <w:p w14:paraId="6C371DD3">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本项目资金已落实。</w:t>
      </w:r>
    </w:p>
    <w:p w14:paraId="19800684">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53" w:name="_Toc447188670"/>
      <w:bookmarkStart w:id="54" w:name="_Toc447265505"/>
      <w:bookmarkStart w:id="55" w:name="_Toc447265219"/>
      <w:bookmarkStart w:id="56" w:name="_Toc18113"/>
      <w:r>
        <w:rPr>
          <w:rFonts w:hint="eastAsia" w:ascii="宋体" w:hAnsi="宋体"/>
          <w:color w:val="000000" w:themeColor="text1"/>
          <w:sz w:val="24"/>
          <w:szCs w:val="24"/>
          <w:highlight w:val="none"/>
          <w14:textFill>
            <w14:solidFill>
              <w14:schemeClr w14:val="tx1"/>
            </w14:solidFill>
          </w14:textFill>
        </w:rPr>
        <w:t>1.3比选范围</w:t>
      </w:r>
      <w:bookmarkEnd w:id="53"/>
      <w:bookmarkEnd w:id="54"/>
      <w:bookmarkEnd w:id="55"/>
      <w:bookmarkEnd w:id="56"/>
    </w:p>
    <w:p w14:paraId="5F86A7EE">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本项目比选范围：见参选人须知前附表。</w:t>
      </w:r>
    </w:p>
    <w:p w14:paraId="4BE53538">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57" w:name="_Toc16703"/>
      <w:r>
        <w:rPr>
          <w:rFonts w:hint="eastAsia" w:ascii="宋体" w:hAnsi="宋体"/>
          <w:color w:val="000000" w:themeColor="text1"/>
          <w:sz w:val="24"/>
          <w:szCs w:val="24"/>
          <w:highlight w:val="none"/>
          <w14:textFill>
            <w14:solidFill>
              <w14:schemeClr w14:val="tx1"/>
            </w14:solidFill>
          </w14:textFill>
        </w:rPr>
        <w:t>1.4分包划分</w:t>
      </w:r>
      <w:bookmarkEnd w:id="57"/>
    </w:p>
    <w:p w14:paraId="3337846E">
      <w:pPr>
        <w:pStyle w:val="21"/>
        <w:tabs>
          <w:tab w:val="left" w:pos="630"/>
        </w:tabs>
        <w:snapToGrid w:val="0"/>
        <w:spacing w:line="440" w:lineRule="exact"/>
        <w:ind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本项目分包划分情况见参选人须知前附表。</w:t>
      </w:r>
    </w:p>
    <w:bookmarkEnd w:id="30"/>
    <w:p w14:paraId="73E036B1">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58" w:name="_Toc447265507"/>
      <w:bookmarkStart w:id="59" w:name="_Toc226969281"/>
      <w:bookmarkStart w:id="60" w:name="_Toc227057888"/>
      <w:bookmarkStart w:id="61" w:name="_Toc447188672"/>
      <w:bookmarkStart w:id="62" w:name="_Toc11477"/>
      <w:bookmarkStart w:id="63" w:name="_Toc107822486"/>
      <w:bookmarkStart w:id="64" w:name="_Toc447265221"/>
      <w:r>
        <w:rPr>
          <w:rFonts w:hint="eastAsia" w:ascii="宋体" w:hAnsi="宋体"/>
          <w:color w:val="000000" w:themeColor="text1"/>
          <w:sz w:val="24"/>
          <w:szCs w:val="24"/>
          <w:highlight w:val="none"/>
          <w14:textFill>
            <w14:solidFill>
              <w14:schemeClr w14:val="tx1"/>
            </w14:solidFill>
          </w14:textFill>
        </w:rPr>
        <w:t>1.5比选方式</w:t>
      </w:r>
      <w:bookmarkEnd w:id="58"/>
      <w:bookmarkEnd w:id="59"/>
      <w:bookmarkEnd w:id="60"/>
      <w:bookmarkEnd w:id="61"/>
      <w:bookmarkEnd w:id="62"/>
      <w:bookmarkEnd w:id="63"/>
      <w:bookmarkEnd w:id="64"/>
    </w:p>
    <w:p w14:paraId="7B9F101F">
      <w:pPr>
        <w:adjustRightInd w:val="0"/>
        <w:snapToGrid w:val="0"/>
        <w:spacing w:line="44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1.5.1比选方式见参选人须知前附表。</w:t>
      </w:r>
    </w:p>
    <w:p w14:paraId="203A5DCA">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1.5.2公开比选，是指比选人以比选公告的方式邀请不特定的法人或者其他组织参选。</w:t>
      </w:r>
    </w:p>
    <w:p w14:paraId="7A2CD0D7">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1.5.3</w:t>
      </w:r>
      <w:r>
        <w:rPr>
          <w:rFonts w:hint="eastAsia" w:hAnsi="宋体"/>
          <w:color w:val="000000" w:themeColor="text1"/>
          <w:sz w:val="24"/>
          <w:szCs w:val="24"/>
          <w:highlight w:val="none"/>
          <w14:textFill>
            <w14:solidFill>
              <w14:schemeClr w14:val="tx1"/>
            </w14:solidFill>
          </w14:textFill>
        </w:rPr>
        <w:t>邀请比选，是指比选人以参选邀请书的方式邀请特定的法人或者其他组织参选。</w:t>
      </w:r>
    </w:p>
    <w:p w14:paraId="2454CCBB">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65" w:name="_Toc447265222"/>
      <w:bookmarkStart w:id="66" w:name="_Toc107822485"/>
      <w:bookmarkStart w:id="67" w:name="_Toc227057887"/>
      <w:bookmarkStart w:id="68" w:name="_Toc447265508"/>
      <w:bookmarkStart w:id="69" w:name="_Toc447188673"/>
      <w:bookmarkStart w:id="70" w:name="_Toc226969280"/>
      <w:bookmarkStart w:id="71" w:name="_Toc15058"/>
      <w:bookmarkStart w:id="72" w:name="_Toc226969282"/>
      <w:bookmarkStart w:id="73" w:name="_Toc227057889"/>
      <w:r>
        <w:rPr>
          <w:rFonts w:hint="eastAsia" w:ascii="宋体" w:hAnsi="宋体"/>
          <w:color w:val="000000" w:themeColor="text1"/>
          <w:sz w:val="24"/>
          <w:szCs w:val="24"/>
          <w:highlight w:val="none"/>
          <w14:textFill>
            <w14:solidFill>
              <w14:schemeClr w14:val="tx1"/>
            </w14:solidFill>
          </w14:textFill>
        </w:rPr>
        <w:t>1.6比选组织形式</w:t>
      </w:r>
      <w:bookmarkEnd w:id="65"/>
      <w:bookmarkEnd w:id="66"/>
      <w:bookmarkEnd w:id="67"/>
      <w:bookmarkEnd w:id="68"/>
      <w:bookmarkEnd w:id="69"/>
      <w:bookmarkEnd w:id="70"/>
      <w:bookmarkEnd w:id="71"/>
    </w:p>
    <w:p w14:paraId="643EE8E4">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本项目由比选人自行组织</w:t>
      </w:r>
      <w:r>
        <w:rPr>
          <w:rFonts w:ascii="宋体" w:hAnsi="宋体" w:cs="宋体"/>
          <w:color w:val="000000" w:themeColor="text1"/>
          <w:sz w:val="24"/>
          <w:highlight w:val="none"/>
          <w14:textFill>
            <w14:solidFill>
              <w14:schemeClr w14:val="tx1"/>
            </w14:solidFill>
          </w14:textFill>
        </w:rPr>
        <w:t>/委托</w:t>
      </w:r>
      <w:r>
        <w:rPr>
          <w:rFonts w:hint="eastAsia" w:ascii="宋体" w:hAnsi="宋体" w:cs="宋体"/>
          <w:color w:val="000000" w:themeColor="text1"/>
          <w:sz w:val="24"/>
          <w:highlight w:val="none"/>
          <w14:textFill>
            <w14:solidFill>
              <w14:schemeClr w14:val="tx1"/>
            </w14:solidFill>
          </w14:textFill>
        </w:rPr>
        <w:t>比选代理机构采用代理比选的方式进行，比选组织形式、比选代理机构名称及联系方式见参选人须知前附表。</w:t>
      </w:r>
    </w:p>
    <w:p w14:paraId="5C794D31">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74" w:name="_Toc447265223"/>
      <w:bookmarkStart w:id="75" w:name="_Toc447188674"/>
      <w:bookmarkStart w:id="76" w:name="_Toc447265509"/>
      <w:bookmarkStart w:id="77" w:name="_Toc14538"/>
      <w:r>
        <w:rPr>
          <w:rFonts w:hint="eastAsia" w:ascii="宋体" w:hAnsi="宋体"/>
          <w:color w:val="000000" w:themeColor="text1"/>
          <w:sz w:val="24"/>
          <w:szCs w:val="24"/>
          <w:highlight w:val="none"/>
          <w14:textFill>
            <w14:solidFill>
              <w14:schemeClr w14:val="tx1"/>
            </w14:solidFill>
          </w14:textFill>
        </w:rPr>
        <w:t>1.7资格审查</w:t>
      </w:r>
      <w:bookmarkEnd w:id="72"/>
      <w:bookmarkEnd w:id="73"/>
      <w:bookmarkEnd w:id="74"/>
      <w:bookmarkEnd w:id="75"/>
      <w:bookmarkEnd w:id="76"/>
      <w:bookmarkEnd w:id="77"/>
    </w:p>
    <w:p w14:paraId="34932CE4">
      <w:pPr>
        <w:adjustRightInd w:val="0"/>
        <w:snapToGrid w:val="0"/>
        <w:spacing w:line="440" w:lineRule="exact"/>
        <w:ind w:firstLine="484" w:firstLineChars="202"/>
        <w:rPr>
          <w:rFonts w:hint="eastAsia" w:ascii="宋体" w:hAnsi="宋体" w:cs="宋体"/>
          <w:color w:val="000000" w:themeColor="text1"/>
          <w:sz w:val="24"/>
          <w:highlight w:val="none"/>
          <w14:textFill>
            <w14:solidFill>
              <w14:schemeClr w14:val="tx1"/>
            </w14:solidFill>
          </w14:textFill>
        </w:rPr>
      </w:pPr>
      <w:bookmarkStart w:id="78" w:name="_Toc447188675"/>
      <w:bookmarkStart w:id="79" w:name="_Toc447265510"/>
      <w:bookmarkStart w:id="80" w:name="_Toc447265224"/>
      <w:r>
        <w:rPr>
          <w:rFonts w:hint="eastAsia" w:ascii="宋体" w:hAnsi="宋体" w:cs="宋体"/>
          <w:color w:val="000000" w:themeColor="text1"/>
          <w:sz w:val="24"/>
          <w:highlight w:val="none"/>
          <w14:textFill>
            <w14:solidFill>
              <w14:schemeClr w14:val="tx1"/>
            </w14:solidFill>
          </w14:textFill>
        </w:rPr>
        <w:t>1.7.1本比选项目资格审查方式见参选人须知前附表。</w:t>
      </w:r>
    </w:p>
    <w:p w14:paraId="0D2DE360">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1.7.2资格预审是指在参选前对参选人进行的资格审查。采用资格预审方式的，资格条件已经在比选文件发出前的“资格预审文件”中做出规定。</w:t>
      </w:r>
    </w:p>
    <w:p w14:paraId="3478845C">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bookmarkStart w:id="81" w:name="_Toc226969283"/>
      <w:r>
        <w:rPr>
          <w:rFonts w:hint="eastAsia" w:hAnsi="宋体"/>
          <w:color w:val="000000" w:themeColor="text1"/>
          <w:sz w:val="24"/>
          <w:szCs w:val="24"/>
          <w:highlight w:val="none"/>
          <w14:textFill>
            <w14:solidFill>
              <w14:schemeClr w14:val="tx1"/>
            </w14:solidFill>
          </w14:textFill>
        </w:rPr>
        <w:t>资格后审是指在唱价后由评选委员会根据比选文件的规定对参选人进行的资格审查。</w:t>
      </w:r>
      <w:bookmarkEnd w:id="81"/>
      <w:r>
        <w:rPr>
          <w:rFonts w:hint="eastAsia" w:hAnsi="宋体"/>
          <w:color w:val="000000" w:themeColor="text1"/>
          <w:sz w:val="24"/>
          <w:szCs w:val="24"/>
          <w:highlight w:val="none"/>
          <w14:textFill>
            <w14:solidFill>
              <w14:schemeClr w14:val="tx1"/>
            </w14:solidFill>
          </w14:textFill>
        </w:rPr>
        <w:t>采用资格后审方式的，参选人应当具备的资格条件见参选人须知前附表。</w:t>
      </w:r>
    </w:p>
    <w:p w14:paraId="0E7A96E4">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采用资格后审的，比选人必须在比选文件中详细规定资格审查标准和方法。</w:t>
      </w:r>
    </w:p>
    <w:p w14:paraId="0FFB57A9">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资格后审一般包括下列内容：</w:t>
      </w:r>
    </w:p>
    <w:p w14:paraId="385EB607">
      <w:pPr>
        <w:numPr>
          <w:ilvl w:val="0"/>
          <w:numId w:val="4"/>
        </w:numPr>
        <w:tabs>
          <w:tab w:val="left" w:pos="644"/>
        </w:tabs>
        <w:snapToGrid w:val="0"/>
        <w:spacing w:line="440" w:lineRule="exact"/>
        <w:ind w:left="0"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资格要求；</w:t>
      </w:r>
    </w:p>
    <w:p w14:paraId="2479F6E6">
      <w:pPr>
        <w:numPr>
          <w:ilvl w:val="0"/>
          <w:numId w:val="4"/>
        </w:numPr>
        <w:tabs>
          <w:tab w:val="left" w:pos="644"/>
        </w:tabs>
        <w:snapToGrid w:val="0"/>
        <w:spacing w:line="440" w:lineRule="exact"/>
        <w:ind w:left="0"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审查标准和方法。</w:t>
      </w:r>
    </w:p>
    <w:p w14:paraId="76018C8D">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资格后审不合格的参选人，评选委员会应当否决其参选。</w:t>
      </w:r>
    </w:p>
    <w:p w14:paraId="3479E380">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82" w:name="_Toc14473"/>
      <w:r>
        <w:rPr>
          <w:rFonts w:hint="eastAsia" w:ascii="宋体" w:hAnsi="宋体"/>
          <w:color w:val="000000" w:themeColor="text1"/>
          <w:sz w:val="24"/>
          <w:szCs w:val="24"/>
          <w:highlight w:val="none"/>
          <w14:textFill>
            <w14:solidFill>
              <w14:schemeClr w14:val="tx1"/>
            </w14:solidFill>
          </w14:textFill>
        </w:rPr>
        <w:t>1.8参选人不得存在的情形</w:t>
      </w:r>
      <w:bookmarkEnd w:id="78"/>
      <w:bookmarkEnd w:id="79"/>
      <w:bookmarkEnd w:id="80"/>
      <w:bookmarkEnd w:id="82"/>
    </w:p>
    <w:p w14:paraId="43197D17">
      <w:pPr>
        <w:pStyle w:val="21"/>
        <w:tabs>
          <w:tab w:val="left" w:pos="630"/>
        </w:tabs>
        <w:snapToGrid w:val="0"/>
        <w:spacing w:before="156" w:beforeLines="50"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1.8.1参选人不得存在下列情形之一</w:t>
      </w:r>
    </w:p>
    <w:p w14:paraId="43E0C228">
      <w:pPr>
        <w:pStyle w:val="46"/>
        <w:numPr>
          <w:ilvl w:val="0"/>
          <w:numId w:val="5"/>
        </w:numPr>
        <w:tabs>
          <w:tab w:val="left" w:pos="645"/>
          <w:tab w:val="left" w:pos="1146"/>
        </w:tabs>
        <w:adjustRightInd w:val="0"/>
        <w:snapToGrid w:val="0"/>
        <w:spacing w:before="156" w:beforeLines="50" w:line="360" w:lineRule="auto"/>
        <w:ind w:firstLineChars="0"/>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为比选人不具有独立法人资格的附属机构（单位）；</w:t>
      </w:r>
    </w:p>
    <w:p w14:paraId="20855A77">
      <w:pPr>
        <w:pStyle w:val="46"/>
        <w:numPr>
          <w:ilvl w:val="0"/>
          <w:numId w:val="5"/>
        </w:numPr>
        <w:tabs>
          <w:tab w:val="left" w:pos="645"/>
          <w:tab w:val="left" w:pos="1146"/>
        </w:tabs>
        <w:adjustRightInd w:val="0"/>
        <w:snapToGrid w:val="0"/>
        <w:spacing w:line="360" w:lineRule="auto"/>
        <w:ind w:firstLineChars="0"/>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被暂停或取消投标/参选资格的；</w:t>
      </w:r>
    </w:p>
    <w:p w14:paraId="36EC4A38">
      <w:pPr>
        <w:pStyle w:val="46"/>
        <w:numPr>
          <w:ilvl w:val="0"/>
          <w:numId w:val="5"/>
        </w:numPr>
        <w:tabs>
          <w:tab w:val="left" w:pos="631"/>
          <w:tab w:val="left" w:pos="1146"/>
        </w:tabs>
        <w:adjustRightInd w:val="0"/>
        <w:snapToGrid w:val="0"/>
        <w:spacing w:line="360" w:lineRule="auto"/>
        <w:ind w:firstLineChars="0"/>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 xml:space="preserve">被责令停产停业、暂扣或者吊销许可证、暂扣或者吊销执照； </w:t>
      </w:r>
    </w:p>
    <w:p w14:paraId="21E808A8">
      <w:pPr>
        <w:pStyle w:val="46"/>
        <w:numPr>
          <w:ilvl w:val="0"/>
          <w:numId w:val="5"/>
        </w:numPr>
        <w:tabs>
          <w:tab w:val="left" w:pos="631"/>
          <w:tab w:val="left" w:pos="1146"/>
        </w:tabs>
        <w:adjustRightInd w:val="0"/>
        <w:snapToGrid w:val="0"/>
        <w:spacing w:line="360" w:lineRule="auto"/>
        <w:ind w:firstLineChars="0"/>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 xml:space="preserve">进入清算程序，或被宣告破产，或其他丧失履约能力的情形； </w:t>
      </w:r>
    </w:p>
    <w:p w14:paraId="5DA0E55A">
      <w:pPr>
        <w:pStyle w:val="46"/>
        <w:numPr>
          <w:ilvl w:val="0"/>
          <w:numId w:val="5"/>
        </w:numPr>
        <w:tabs>
          <w:tab w:val="left" w:pos="645"/>
          <w:tab w:val="left" w:pos="1146"/>
        </w:tabs>
        <w:adjustRightInd w:val="0"/>
        <w:snapToGrid w:val="0"/>
        <w:spacing w:line="360" w:lineRule="auto"/>
        <w:ind w:firstLineChars="0"/>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在最近三年内骗取中标/中选的；</w:t>
      </w:r>
    </w:p>
    <w:p w14:paraId="008BA31D">
      <w:pPr>
        <w:pStyle w:val="46"/>
        <w:numPr>
          <w:ilvl w:val="0"/>
          <w:numId w:val="5"/>
        </w:numPr>
        <w:tabs>
          <w:tab w:val="left" w:pos="645"/>
          <w:tab w:val="left" w:pos="1146"/>
        </w:tabs>
        <w:adjustRightInd w:val="0"/>
        <w:snapToGrid w:val="0"/>
        <w:spacing w:line="360" w:lineRule="auto"/>
        <w:ind w:firstLineChars="0"/>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 xml:space="preserve">在最近三年内因严重违反合同约定被解除合同/协议，或取消供应商资格的； </w:t>
      </w:r>
    </w:p>
    <w:p w14:paraId="07FD34DA">
      <w:pPr>
        <w:pStyle w:val="46"/>
        <w:numPr>
          <w:ilvl w:val="0"/>
          <w:numId w:val="5"/>
        </w:numPr>
        <w:tabs>
          <w:tab w:val="left" w:pos="630"/>
          <w:tab w:val="left" w:pos="1146"/>
        </w:tabs>
        <w:adjustRightInd w:val="0"/>
        <w:snapToGrid w:val="0"/>
        <w:spacing w:line="360" w:lineRule="auto"/>
        <w:ind w:firstLineChars="0"/>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在最近五年内，存在与比选活动相关的行贿犯罪记录的；</w:t>
      </w:r>
    </w:p>
    <w:p w14:paraId="17E15435">
      <w:pPr>
        <w:pStyle w:val="46"/>
        <w:numPr>
          <w:ilvl w:val="0"/>
          <w:numId w:val="5"/>
        </w:numPr>
        <w:tabs>
          <w:tab w:val="left" w:pos="630"/>
          <w:tab w:val="left" w:pos="1146"/>
        </w:tabs>
        <w:adjustRightInd w:val="0"/>
        <w:snapToGrid w:val="0"/>
        <w:spacing w:line="360" w:lineRule="auto"/>
        <w:ind w:firstLineChars="0"/>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参选人不得存在的其他情形见参选人须知前附表。</w:t>
      </w:r>
    </w:p>
    <w:p w14:paraId="3A683F65">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1.8.2单位负责人为同一人或者存在控股、管理关系的不同单位，不得同时参加本项目中同一分包比选或者未划分分包的同一项目比选。</w:t>
      </w:r>
    </w:p>
    <w:p w14:paraId="4C54E87C">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83" w:name="_Toc447188676"/>
      <w:bookmarkStart w:id="84" w:name="_Toc227057890"/>
      <w:bookmarkStart w:id="85" w:name="_Toc14342"/>
      <w:bookmarkStart w:id="86" w:name="_Toc447265225"/>
      <w:bookmarkStart w:id="87" w:name="_Toc447265511"/>
      <w:bookmarkStart w:id="88" w:name="_Toc107822487"/>
      <w:bookmarkStart w:id="89" w:name="_Toc226969284"/>
      <w:r>
        <w:rPr>
          <w:rFonts w:hint="eastAsia" w:ascii="宋体" w:hAnsi="宋体"/>
          <w:color w:val="000000" w:themeColor="text1"/>
          <w:sz w:val="24"/>
          <w:szCs w:val="24"/>
          <w:highlight w:val="none"/>
          <w14:textFill>
            <w14:solidFill>
              <w14:schemeClr w14:val="tx1"/>
            </w14:solidFill>
          </w14:textFill>
        </w:rPr>
        <w:t>1.9合格的货物和服务</w:t>
      </w:r>
      <w:bookmarkEnd w:id="83"/>
      <w:bookmarkEnd w:id="84"/>
      <w:bookmarkEnd w:id="85"/>
      <w:bookmarkEnd w:id="86"/>
      <w:bookmarkEnd w:id="87"/>
      <w:bookmarkEnd w:id="88"/>
      <w:bookmarkEnd w:id="89"/>
    </w:p>
    <w:p w14:paraId="7067B6A9">
      <w:pPr>
        <w:pStyle w:val="21"/>
        <w:tabs>
          <w:tab w:val="left" w:pos="630"/>
        </w:tabs>
        <w:snapToGrid w:val="0"/>
        <w:spacing w:line="440" w:lineRule="exact"/>
        <w:ind w:firstLine="324" w:firstLineChars="135"/>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1.9.1参选人提供的所有货物及其有关服务的原产地，均应当来自中国或者是与中国有正常贸易往来的国家或者地区。比选人的支付也仅限于这些货物和服务。</w:t>
      </w:r>
    </w:p>
    <w:p w14:paraId="55D75486">
      <w:pPr>
        <w:pStyle w:val="21"/>
        <w:tabs>
          <w:tab w:val="left" w:pos="630"/>
        </w:tabs>
        <w:snapToGrid w:val="0"/>
        <w:spacing w:line="440" w:lineRule="exact"/>
        <w:ind w:firstLine="324" w:firstLineChars="135"/>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1.9.2本比选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40D27E82">
      <w:pPr>
        <w:pStyle w:val="21"/>
        <w:tabs>
          <w:tab w:val="left" w:pos="630"/>
        </w:tabs>
        <w:snapToGrid w:val="0"/>
        <w:spacing w:line="440" w:lineRule="exact"/>
        <w:ind w:firstLine="324" w:firstLineChars="135"/>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1.9.3参选人提供的所有货物及其有关服务应当符合国家规定的资格条件。</w:t>
      </w:r>
    </w:p>
    <w:p w14:paraId="664C154B">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90" w:name="_Toc107822488"/>
      <w:bookmarkStart w:id="91" w:name="_Toc227057891"/>
      <w:bookmarkStart w:id="92" w:name="_Toc447188677"/>
      <w:bookmarkStart w:id="93" w:name="_Toc14927"/>
      <w:bookmarkStart w:id="94" w:name="_Toc447265226"/>
      <w:bookmarkStart w:id="95" w:name="_Toc447265512"/>
      <w:bookmarkStart w:id="96" w:name="_Toc226969285"/>
      <w:r>
        <w:rPr>
          <w:rFonts w:hint="eastAsia" w:ascii="宋体" w:hAnsi="宋体"/>
          <w:color w:val="000000" w:themeColor="text1"/>
          <w:sz w:val="24"/>
          <w:szCs w:val="24"/>
          <w:highlight w:val="none"/>
          <w14:textFill>
            <w14:solidFill>
              <w14:schemeClr w14:val="tx1"/>
            </w14:solidFill>
          </w14:textFill>
        </w:rPr>
        <w:t>1.10参选费用</w:t>
      </w:r>
      <w:bookmarkEnd w:id="90"/>
      <w:bookmarkEnd w:id="91"/>
      <w:bookmarkEnd w:id="92"/>
      <w:bookmarkEnd w:id="93"/>
      <w:bookmarkEnd w:id="94"/>
      <w:bookmarkEnd w:id="95"/>
      <w:bookmarkEnd w:id="96"/>
    </w:p>
    <w:p w14:paraId="0FD9D6CF">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不论结果如何，参选人自行承担所有准备和参与比选有关的费用。</w:t>
      </w:r>
      <w:bookmarkStart w:id="97" w:name="_Toc107822489"/>
      <w:bookmarkStart w:id="98" w:name="_Toc227057892"/>
      <w:bookmarkStart w:id="99" w:name="_Toc226969286"/>
    </w:p>
    <w:p w14:paraId="331280A4">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100" w:name="_Toc447265513"/>
      <w:bookmarkStart w:id="101" w:name="_Toc447265227"/>
      <w:bookmarkStart w:id="102" w:name="_Toc31331"/>
      <w:r>
        <w:rPr>
          <w:rFonts w:hint="eastAsia" w:ascii="宋体" w:hAnsi="宋体"/>
          <w:color w:val="000000" w:themeColor="text1"/>
          <w:sz w:val="24"/>
          <w:szCs w:val="24"/>
          <w:highlight w:val="none"/>
          <w14:textFill>
            <w14:solidFill>
              <w14:schemeClr w14:val="tx1"/>
            </w14:solidFill>
          </w14:textFill>
        </w:rPr>
        <w:t>1.11保密</w:t>
      </w:r>
      <w:bookmarkEnd w:id="100"/>
      <w:bookmarkEnd w:id="101"/>
      <w:bookmarkEnd w:id="102"/>
    </w:p>
    <w:p w14:paraId="67DDEB51">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参与比选活动的各方应当对比选文件和参选文件中的商业和技术等秘密保密，违者应当对由此造成的后果承担法律责任。</w:t>
      </w:r>
    </w:p>
    <w:p w14:paraId="4799772A">
      <w:pPr>
        <w:pStyle w:val="35"/>
        <w:numPr>
          <w:ilvl w:val="0"/>
          <w:numId w:val="3"/>
        </w:numPr>
        <w:tabs>
          <w:tab w:val="left" w:pos="588"/>
        </w:tabs>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103" w:name="_Toc152042318"/>
      <w:bookmarkStart w:id="104" w:name="_Toc296602432"/>
      <w:bookmarkStart w:id="105" w:name="_Toc447188678"/>
      <w:bookmarkStart w:id="106" w:name="_Toc447265514"/>
      <w:bookmarkStart w:id="107" w:name="_Toc447265228"/>
      <w:bookmarkStart w:id="108" w:name="_Toc246996187"/>
      <w:bookmarkStart w:id="109" w:name="_Toc18892"/>
      <w:bookmarkStart w:id="110" w:name="_Toc247085701"/>
      <w:bookmarkStart w:id="111" w:name="_Toc246996930"/>
      <w:bookmarkStart w:id="112" w:name="_Toc179632560"/>
      <w:bookmarkStart w:id="113" w:name="_Toc152045542"/>
      <w:bookmarkStart w:id="114" w:name="_Toc144974510"/>
      <w:r>
        <w:rPr>
          <w:rFonts w:hint="eastAsia" w:ascii="宋体" w:hAnsi="宋体"/>
          <w:color w:val="000000" w:themeColor="text1"/>
          <w:sz w:val="24"/>
          <w:szCs w:val="24"/>
          <w:highlight w:val="none"/>
          <w14:textFill>
            <w14:solidFill>
              <w14:schemeClr w14:val="tx1"/>
            </w14:solidFill>
          </w14:textFill>
        </w:rPr>
        <w:t>比选文件</w:t>
      </w:r>
      <w:bookmarkEnd w:id="103"/>
      <w:bookmarkEnd w:id="104"/>
      <w:bookmarkEnd w:id="105"/>
      <w:bookmarkEnd w:id="106"/>
      <w:bookmarkEnd w:id="107"/>
      <w:bookmarkEnd w:id="108"/>
      <w:bookmarkEnd w:id="109"/>
      <w:bookmarkEnd w:id="110"/>
      <w:bookmarkEnd w:id="111"/>
      <w:bookmarkEnd w:id="112"/>
      <w:bookmarkEnd w:id="113"/>
      <w:bookmarkEnd w:id="114"/>
      <w:r>
        <w:rPr>
          <w:rFonts w:hint="eastAsia" w:ascii="宋体" w:hAnsi="宋体"/>
          <w:color w:val="000000" w:themeColor="text1"/>
          <w:sz w:val="24"/>
          <w:szCs w:val="24"/>
          <w:highlight w:val="none"/>
          <w14:textFill>
            <w14:solidFill>
              <w14:schemeClr w14:val="tx1"/>
            </w14:solidFill>
          </w14:textFill>
        </w:rPr>
        <w:t xml:space="preserve"> </w:t>
      </w:r>
    </w:p>
    <w:p w14:paraId="657D5FF2">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115" w:name="_Toc447265515"/>
      <w:bookmarkStart w:id="116" w:name="_Toc16210"/>
      <w:bookmarkStart w:id="117" w:name="_Toc447265229"/>
      <w:bookmarkStart w:id="118" w:name="_Toc447188679"/>
      <w:r>
        <w:rPr>
          <w:rFonts w:hint="eastAsia" w:ascii="宋体" w:hAnsi="宋体"/>
          <w:color w:val="000000" w:themeColor="text1"/>
          <w:sz w:val="24"/>
          <w:szCs w:val="24"/>
          <w:highlight w:val="none"/>
          <w14:textFill>
            <w14:solidFill>
              <w14:schemeClr w14:val="tx1"/>
            </w14:solidFill>
          </w14:textFill>
        </w:rPr>
        <w:t>2.1比选文件</w:t>
      </w:r>
      <w:bookmarkEnd w:id="97"/>
      <w:r>
        <w:rPr>
          <w:rFonts w:hint="eastAsia" w:ascii="宋体" w:hAnsi="宋体"/>
          <w:color w:val="000000" w:themeColor="text1"/>
          <w:sz w:val="24"/>
          <w:szCs w:val="24"/>
          <w:highlight w:val="none"/>
          <w14:textFill>
            <w14:solidFill>
              <w14:schemeClr w14:val="tx1"/>
            </w14:solidFill>
          </w14:textFill>
        </w:rPr>
        <w:t>的组成</w:t>
      </w:r>
      <w:bookmarkEnd w:id="98"/>
      <w:bookmarkEnd w:id="99"/>
      <w:bookmarkEnd w:id="115"/>
      <w:bookmarkEnd w:id="116"/>
      <w:bookmarkEnd w:id="117"/>
      <w:bookmarkEnd w:id="118"/>
    </w:p>
    <w:p w14:paraId="15D6B104">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2.1.1比选文件一般由以下部分组成：</w:t>
      </w:r>
    </w:p>
    <w:p w14:paraId="6851A1B8">
      <w:pPr>
        <w:adjustRightInd w:val="0"/>
        <w:snapToGrid w:val="0"/>
        <w:spacing w:line="44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第一章</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比选公告</w:t>
      </w:r>
      <w:r>
        <w:rPr>
          <w:rFonts w:ascii="宋体" w:hAnsi="宋体" w:cs="宋体"/>
          <w:color w:val="000000" w:themeColor="text1"/>
          <w:sz w:val="24"/>
          <w:highlight w:val="none"/>
          <w14:textFill>
            <w14:solidFill>
              <w14:schemeClr w14:val="tx1"/>
            </w14:solidFill>
          </w14:textFill>
        </w:rPr>
        <w:t>/参选邀请书</w:t>
      </w:r>
    </w:p>
    <w:p w14:paraId="1EB603AF">
      <w:pPr>
        <w:adjustRightInd w:val="0"/>
        <w:snapToGrid w:val="0"/>
        <w:spacing w:line="44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第二章</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参选人须知</w:t>
      </w:r>
    </w:p>
    <w:p w14:paraId="47B8235F">
      <w:pPr>
        <w:adjustRightInd w:val="0"/>
        <w:snapToGrid w:val="0"/>
        <w:spacing w:line="44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第三章</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评选办法</w:t>
      </w:r>
    </w:p>
    <w:p w14:paraId="7E31C255">
      <w:pPr>
        <w:adjustRightInd w:val="0"/>
        <w:snapToGrid w:val="0"/>
        <w:spacing w:line="44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第四章</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商务规范书</w:t>
      </w:r>
    </w:p>
    <w:p w14:paraId="55F93A61">
      <w:pPr>
        <w:adjustRightInd w:val="0"/>
        <w:snapToGrid w:val="0"/>
        <w:spacing w:line="44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第五章 技术标准和要求/技术规范书/工作任务书</w:t>
      </w:r>
    </w:p>
    <w:p w14:paraId="55416CAF">
      <w:pPr>
        <w:adjustRightInd w:val="0"/>
        <w:snapToGrid w:val="0"/>
        <w:spacing w:line="44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第六章</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参选文件格式</w:t>
      </w:r>
    </w:p>
    <w:p w14:paraId="49F3606C">
      <w:pPr>
        <w:adjustRightInd w:val="0"/>
        <w:snapToGrid w:val="0"/>
        <w:spacing w:line="44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第七章 其他</w:t>
      </w:r>
    </w:p>
    <w:p w14:paraId="18C6E9D3">
      <w:pPr>
        <w:adjustRightInd w:val="0"/>
        <w:snapToGrid w:val="0"/>
        <w:spacing w:line="44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比选人另有规定的</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见参选人须知前附表</w:t>
      </w:r>
    </w:p>
    <w:p w14:paraId="22050E48">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2.1.2比选文件对同一内容的表述应当一致。第一章“比选公告”或者“参选邀请书”与比选文件在同一内容的表述上有矛盾或者冲突时，以第一章“比选公告”或者“参选邀请书”为准；参选人须知前附表与参选人须知正文在同一内容的表述上有矛盾或者冲突时，以参选人须知前附表为准。</w:t>
      </w:r>
    </w:p>
    <w:p w14:paraId="3701B6B3">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2.1.3比选人在比选文件中以显著的方式标明实质性要求、条件以及不满足实质性要求和条件的参选将被否决的提示；对于非实质性要求和条件，规定允许偏差的最大范围、最高项数和调整偏差的方法。显著标识方式和具体要求见参选人须知前附表。</w:t>
      </w:r>
    </w:p>
    <w:p w14:paraId="57CAC2FF">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2.1.4比选人可要求以某一单项报价核定是否低于成本，具体要求见参选人须知前附表。</w:t>
      </w:r>
    </w:p>
    <w:p w14:paraId="18A7A5E7">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119" w:name="_Toc447265516"/>
      <w:bookmarkStart w:id="120" w:name="_Toc447265230"/>
      <w:bookmarkStart w:id="121" w:name="_Toc447188680"/>
      <w:bookmarkStart w:id="122" w:name="_Toc15213"/>
      <w:bookmarkStart w:id="123" w:name="_Toc227057893"/>
      <w:bookmarkStart w:id="124" w:name="_Toc226969287"/>
      <w:bookmarkStart w:id="125" w:name="_Toc107822490"/>
      <w:r>
        <w:rPr>
          <w:rFonts w:ascii="宋体" w:hAnsi="宋体"/>
          <w:color w:val="000000" w:themeColor="text1"/>
          <w:sz w:val="24"/>
          <w:szCs w:val="24"/>
          <w:highlight w:val="none"/>
          <w14:textFill>
            <w14:solidFill>
              <w14:schemeClr w14:val="tx1"/>
            </w14:solidFill>
          </w14:textFill>
        </w:rPr>
        <w:t>2.2</w:t>
      </w:r>
      <w:r>
        <w:rPr>
          <w:rFonts w:hint="eastAsia" w:ascii="宋体" w:hAnsi="宋体"/>
          <w:color w:val="000000" w:themeColor="text1"/>
          <w:sz w:val="24"/>
          <w:szCs w:val="24"/>
          <w:highlight w:val="none"/>
          <w14:textFill>
            <w14:solidFill>
              <w14:schemeClr w14:val="tx1"/>
            </w14:solidFill>
          </w14:textFill>
        </w:rPr>
        <w:t>踏勘现场</w:t>
      </w:r>
      <w:bookmarkEnd w:id="119"/>
      <w:bookmarkEnd w:id="120"/>
      <w:bookmarkEnd w:id="121"/>
      <w:bookmarkEnd w:id="122"/>
    </w:p>
    <w:p w14:paraId="72944CA8">
      <w:pPr>
        <w:pStyle w:val="21"/>
        <w:tabs>
          <w:tab w:val="left" w:pos="630"/>
        </w:tabs>
        <w:snapToGrid w:val="0"/>
        <w:spacing w:line="440" w:lineRule="exact"/>
        <w:ind w:firstLine="324" w:firstLineChars="135"/>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2.2.1参选人须知前附表规定组织踏勘现场的，比选人按照参选人须知前附表规定的时间、地点组织参选人踏勘项目现场。 </w:t>
      </w:r>
    </w:p>
    <w:p w14:paraId="3E4DBCA5">
      <w:pPr>
        <w:pStyle w:val="21"/>
        <w:tabs>
          <w:tab w:val="left" w:pos="630"/>
        </w:tabs>
        <w:snapToGrid w:val="0"/>
        <w:spacing w:line="440" w:lineRule="exact"/>
        <w:ind w:firstLine="324" w:firstLineChars="135"/>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2.2.2</w:t>
      </w:r>
      <w:r>
        <w:rPr>
          <w:rFonts w:hint="eastAsia" w:hAnsi="宋体"/>
          <w:color w:val="000000" w:themeColor="text1"/>
          <w:sz w:val="24"/>
          <w:szCs w:val="24"/>
          <w:highlight w:val="none"/>
          <w14:textFill>
            <w14:solidFill>
              <w14:schemeClr w14:val="tx1"/>
            </w14:solidFill>
          </w14:textFill>
        </w:rPr>
        <w:t>潜在参选人踏勘现场发生的费用自理。</w:t>
      </w:r>
    </w:p>
    <w:p w14:paraId="474AEA45">
      <w:pPr>
        <w:pStyle w:val="21"/>
        <w:tabs>
          <w:tab w:val="left" w:pos="630"/>
        </w:tabs>
        <w:snapToGrid w:val="0"/>
        <w:spacing w:line="440" w:lineRule="exact"/>
        <w:ind w:firstLine="324" w:firstLineChars="135"/>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2.2.3</w:t>
      </w:r>
      <w:r>
        <w:rPr>
          <w:rFonts w:hint="eastAsia" w:hAnsi="宋体"/>
          <w:color w:val="000000" w:themeColor="text1"/>
          <w:sz w:val="24"/>
          <w:szCs w:val="24"/>
          <w:highlight w:val="none"/>
          <w14:textFill>
            <w14:solidFill>
              <w14:schemeClr w14:val="tx1"/>
            </w14:solidFill>
          </w14:textFill>
        </w:rPr>
        <w:t>除比选人的原因外，潜在参选人自行负责在踏勘现场中所发生的人员伤亡和财产损失。</w:t>
      </w:r>
    </w:p>
    <w:p w14:paraId="200A3B3A">
      <w:pPr>
        <w:pStyle w:val="21"/>
        <w:tabs>
          <w:tab w:val="left" w:pos="630"/>
        </w:tabs>
        <w:snapToGrid w:val="0"/>
        <w:spacing w:line="440" w:lineRule="exact"/>
        <w:ind w:firstLine="324" w:firstLineChars="135"/>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2.2.4</w:t>
      </w:r>
      <w:r>
        <w:rPr>
          <w:rFonts w:hint="eastAsia" w:hAnsi="宋体"/>
          <w:color w:val="000000" w:themeColor="text1"/>
          <w:sz w:val="24"/>
          <w:szCs w:val="24"/>
          <w:highlight w:val="none"/>
          <w14:textFill>
            <w14:solidFill>
              <w14:schemeClr w14:val="tx1"/>
            </w14:solidFill>
          </w14:textFill>
        </w:rPr>
        <w:t>比选人在踏勘现场中介绍的项目现场和相关的周边环境情况，供潜在参选人在编制参选文件时参考，比选人不对参选人据此作出的判断和决策负责。</w:t>
      </w:r>
    </w:p>
    <w:p w14:paraId="438ED199">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126" w:name="_Toc447188681"/>
      <w:bookmarkStart w:id="127" w:name="_Toc22855"/>
      <w:bookmarkStart w:id="128" w:name="_Toc447265517"/>
      <w:bookmarkStart w:id="129" w:name="_Toc447265231"/>
      <w:r>
        <w:rPr>
          <w:rFonts w:ascii="宋体" w:hAnsi="宋体"/>
          <w:color w:val="000000" w:themeColor="text1"/>
          <w:sz w:val="24"/>
          <w:szCs w:val="24"/>
          <w:highlight w:val="none"/>
          <w14:textFill>
            <w14:solidFill>
              <w14:schemeClr w14:val="tx1"/>
            </w14:solidFill>
          </w14:textFill>
        </w:rPr>
        <w:t>2.3</w:t>
      </w:r>
      <w:r>
        <w:rPr>
          <w:rFonts w:hint="eastAsia" w:ascii="宋体" w:hAnsi="宋体"/>
          <w:color w:val="000000" w:themeColor="text1"/>
          <w:sz w:val="24"/>
          <w:szCs w:val="24"/>
          <w:highlight w:val="none"/>
          <w14:textFill>
            <w14:solidFill>
              <w14:schemeClr w14:val="tx1"/>
            </w14:solidFill>
          </w14:textFill>
        </w:rPr>
        <w:t>参选预备会</w:t>
      </w:r>
      <w:bookmarkEnd w:id="126"/>
      <w:bookmarkEnd w:id="127"/>
      <w:bookmarkEnd w:id="128"/>
      <w:bookmarkEnd w:id="129"/>
    </w:p>
    <w:p w14:paraId="590BB6E4">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参选人须知前附表规定召开参选预备会的，比选人按照参选人须知前附表规定的时间和地点召开参选预备会，澄清潜在参选人提出的问题。</w:t>
      </w:r>
    </w:p>
    <w:p w14:paraId="317440A4">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130" w:name="_Toc447188682"/>
      <w:bookmarkStart w:id="131" w:name="_Toc447265232"/>
      <w:bookmarkStart w:id="132" w:name="_Toc447265518"/>
      <w:bookmarkStart w:id="133" w:name="_Toc4263"/>
      <w:r>
        <w:rPr>
          <w:rFonts w:hint="eastAsia" w:ascii="宋体" w:hAnsi="宋体"/>
          <w:color w:val="000000" w:themeColor="text1"/>
          <w:sz w:val="24"/>
          <w:szCs w:val="24"/>
          <w:highlight w:val="none"/>
          <w14:textFill>
            <w14:solidFill>
              <w14:schemeClr w14:val="tx1"/>
            </w14:solidFill>
          </w14:textFill>
        </w:rPr>
        <w:t>2.4比选文件的澄清</w:t>
      </w:r>
      <w:bookmarkEnd w:id="123"/>
      <w:bookmarkEnd w:id="124"/>
      <w:bookmarkEnd w:id="125"/>
      <w:r>
        <w:rPr>
          <w:rFonts w:hint="eastAsia" w:ascii="宋体" w:hAnsi="宋体"/>
          <w:color w:val="000000" w:themeColor="text1"/>
          <w:sz w:val="24"/>
          <w:szCs w:val="24"/>
          <w:highlight w:val="none"/>
          <w14:textFill>
            <w14:solidFill>
              <w14:schemeClr w14:val="tx1"/>
            </w14:solidFill>
          </w14:textFill>
        </w:rPr>
        <w:t>和修改</w:t>
      </w:r>
      <w:bookmarkEnd w:id="130"/>
      <w:bookmarkEnd w:id="131"/>
      <w:bookmarkEnd w:id="132"/>
      <w:bookmarkEnd w:id="133"/>
    </w:p>
    <w:p w14:paraId="53E09810">
      <w:pPr>
        <w:pStyle w:val="21"/>
        <w:tabs>
          <w:tab w:val="left" w:pos="630"/>
        </w:tabs>
        <w:snapToGrid w:val="0"/>
        <w:spacing w:line="440" w:lineRule="exact"/>
        <w:ind w:firstLine="324" w:firstLineChars="135"/>
        <w:rPr>
          <w:rFonts w:hint="eastAsia" w:hAnsi="宋体"/>
          <w:color w:val="000000" w:themeColor="text1"/>
          <w:sz w:val="24"/>
          <w:szCs w:val="24"/>
          <w:highlight w:val="none"/>
          <w14:textFill>
            <w14:solidFill>
              <w14:schemeClr w14:val="tx1"/>
            </w14:solidFill>
          </w14:textFill>
        </w:rPr>
      </w:pPr>
      <w:bookmarkStart w:id="134" w:name="_Toc246996934"/>
      <w:bookmarkStart w:id="135" w:name="_Toc246996191"/>
      <w:bookmarkStart w:id="136" w:name="_Toc152042322"/>
      <w:bookmarkStart w:id="137" w:name="_Toc144974514"/>
      <w:bookmarkStart w:id="138" w:name="_Toc247085705"/>
      <w:bookmarkStart w:id="139" w:name="_Toc447265233"/>
      <w:bookmarkStart w:id="140" w:name="_Toc179632564"/>
      <w:bookmarkStart w:id="141" w:name="_Toc447188683"/>
      <w:bookmarkStart w:id="142" w:name="_Toc447265519"/>
      <w:bookmarkStart w:id="143" w:name="_Toc296602436"/>
      <w:bookmarkStart w:id="144" w:name="_Toc152045546"/>
      <w:bookmarkStart w:id="145" w:name="_Toc107822492"/>
      <w:bookmarkStart w:id="146" w:name="_Toc227057895"/>
      <w:bookmarkStart w:id="147" w:name="_Toc226969289"/>
      <w:r>
        <w:rPr>
          <w:rFonts w:hint="eastAsia" w:hAnsi="宋体"/>
          <w:color w:val="000000" w:themeColor="text1"/>
          <w:sz w:val="24"/>
          <w:szCs w:val="24"/>
          <w:highlight w:val="none"/>
          <w14:textFill>
            <w14:solidFill>
              <w14:schemeClr w14:val="tx1"/>
            </w14:solidFill>
          </w14:textFill>
        </w:rPr>
        <w:t>2.4.1参选人对比选文件有疑问的，应当按照参选人须知前附表规定的时间和方式，要求比选人对比选文件进行澄清。</w:t>
      </w:r>
    </w:p>
    <w:p w14:paraId="6A367866">
      <w:pPr>
        <w:pStyle w:val="21"/>
        <w:tabs>
          <w:tab w:val="left" w:pos="630"/>
        </w:tabs>
        <w:snapToGrid w:val="0"/>
        <w:spacing w:line="440" w:lineRule="exact"/>
        <w:ind w:firstLine="324" w:firstLineChars="135"/>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2.4.2</w:t>
      </w:r>
      <w:r>
        <w:rPr>
          <w:rFonts w:hint="eastAsia" w:hAnsi="宋体"/>
          <w:color w:val="000000" w:themeColor="text1"/>
          <w:sz w:val="24"/>
          <w:szCs w:val="24"/>
          <w:highlight w:val="none"/>
          <w14:textFill>
            <w14:solidFill>
              <w14:schemeClr w14:val="tx1"/>
            </w14:solidFill>
          </w14:textFill>
        </w:rPr>
        <w:t>比选人应当将澄清或者修改内容发给所有购买比选文件的参选人，但不指明问题的来源。</w:t>
      </w:r>
    </w:p>
    <w:p w14:paraId="46B5D20C">
      <w:pPr>
        <w:pStyle w:val="21"/>
        <w:tabs>
          <w:tab w:val="left" w:pos="630"/>
        </w:tabs>
        <w:snapToGrid w:val="0"/>
        <w:spacing w:line="440" w:lineRule="exact"/>
        <w:ind w:firstLine="324" w:firstLineChars="135"/>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2.4.3</w:t>
      </w:r>
      <w:r>
        <w:rPr>
          <w:rFonts w:hint="eastAsia" w:hAnsi="宋体"/>
          <w:color w:val="000000" w:themeColor="text1"/>
          <w:sz w:val="24"/>
          <w:szCs w:val="24"/>
          <w:highlight w:val="none"/>
          <w14:textFill>
            <w14:solidFill>
              <w14:schemeClr w14:val="tx1"/>
            </w14:solidFill>
          </w14:textFill>
        </w:rPr>
        <w:t>如澄清或者修改的内容可能影响参选文件编制的，应当在递交参选文件截止时间至少2日前发出，不足2日的，比选人应当相应顺延参选截止时间。</w:t>
      </w:r>
    </w:p>
    <w:p w14:paraId="4847ECE7">
      <w:pPr>
        <w:pStyle w:val="21"/>
        <w:tabs>
          <w:tab w:val="left" w:pos="630"/>
        </w:tabs>
        <w:snapToGrid w:val="0"/>
        <w:spacing w:line="440" w:lineRule="exact"/>
        <w:ind w:firstLine="324" w:firstLineChars="135"/>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2.4.4参选人收到澄清或者修改后，应当按照参选人须知前附表规定的时间和方式通知比选人，确认已收到该澄清或者修改。</w:t>
      </w:r>
    </w:p>
    <w:p w14:paraId="0A582BE5">
      <w:pPr>
        <w:pStyle w:val="21"/>
        <w:tabs>
          <w:tab w:val="left" w:pos="630"/>
        </w:tabs>
        <w:snapToGrid w:val="0"/>
        <w:spacing w:line="440" w:lineRule="exact"/>
        <w:ind w:firstLine="324" w:firstLineChars="135"/>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2.4.5所有关于比选文件的澄清和修改均作为比选文件的补充部分。当比选文件、比选文件的澄清或者修改等在同一内容的表述上不一致时，以最后发出的书面文件为准。</w:t>
      </w:r>
    </w:p>
    <w:p w14:paraId="739898BA">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148" w:name="_Toc8555"/>
      <w:r>
        <w:rPr>
          <w:rFonts w:hint="eastAsia" w:ascii="宋体" w:hAnsi="宋体"/>
          <w:color w:val="000000" w:themeColor="text1"/>
          <w:sz w:val="24"/>
          <w:szCs w:val="24"/>
          <w:highlight w:val="none"/>
          <w14:textFill>
            <w14:solidFill>
              <w14:schemeClr w14:val="tx1"/>
            </w14:solidFill>
          </w14:textFill>
        </w:rPr>
        <w:t>2.5 比选文件的异议</w:t>
      </w:r>
      <w:bookmarkEnd w:id="148"/>
    </w:p>
    <w:p w14:paraId="4027FBAD">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潜在参选人或者其他利害关系人对比选文件有异议的，应当在提交参选文件截止时间1日前以书面形式提出。比选人应当自收到异议之日起2日内作出答复；作出答复前，应当暂停比选活动。已经处理过的异议，没有提出新的理由、主张，不予受理。</w:t>
      </w:r>
    </w:p>
    <w:p w14:paraId="58EEE919">
      <w:pPr>
        <w:pStyle w:val="35"/>
        <w:numPr>
          <w:ilvl w:val="0"/>
          <w:numId w:val="3"/>
        </w:numPr>
        <w:tabs>
          <w:tab w:val="left" w:pos="588"/>
        </w:tabs>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149" w:name="_Toc19812"/>
      <w:r>
        <w:rPr>
          <w:rFonts w:hint="eastAsia" w:ascii="宋体" w:hAnsi="宋体"/>
          <w:color w:val="000000" w:themeColor="text1"/>
          <w:sz w:val="24"/>
          <w:szCs w:val="24"/>
          <w:highlight w:val="none"/>
          <w14:textFill>
            <w14:solidFill>
              <w14:schemeClr w14:val="tx1"/>
            </w14:solidFill>
          </w14:textFill>
        </w:rPr>
        <w:t>参选文件</w:t>
      </w:r>
      <w:bookmarkEnd w:id="134"/>
      <w:bookmarkEnd w:id="135"/>
      <w:bookmarkEnd w:id="136"/>
      <w:bookmarkEnd w:id="137"/>
      <w:bookmarkEnd w:id="138"/>
      <w:bookmarkEnd w:id="139"/>
      <w:bookmarkEnd w:id="140"/>
      <w:bookmarkEnd w:id="141"/>
      <w:bookmarkEnd w:id="142"/>
      <w:bookmarkEnd w:id="143"/>
      <w:bookmarkEnd w:id="144"/>
      <w:bookmarkEnd w:id="149"/>
    </w:p>
    <w:bookmarkEnd w:id="31"/>
    <w:bookmarkEnd w:id="145"/>
    <w:bookmarkEnd w:id="146"/>
    <w:bookmarkEnd w:id="147"/>
    <w:p w14:paraId="60714856">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150" w:name="_Toc227057896"/>
      <w:bookmarkStart w:id="151" w:name="_Toc226969290"/>
      <w:bookmarkStart w:id="152" w:name="_Toc107822493"/>
      <w:bookmarkStart w:id="153" w:name="_Toc26078"/>
      <w:bookmarkStart w:id="154" w:name="_Toc447265520"/>
      <w:bookmarkStart w:id="155" w:name="_Toc447265234"/>
      <w:bookmarkStart w:id="156" w:name="_Toc447188684"/>
      <w:bookmarkStart w:id="157" w:name="_Toc450489293"/>
      <w:bookmarkStart w:id="158" w:name="_Toc447265242"/>
      <w:bookmarkStart w:id="159" w:name="_Toc184635074"/>
      <w:bookmarkStart w:id="160" w:name="_Toc447265528"/>
      <w:bookmarkStart w:id="161" w:name="_Toc488655848"/>
      <w:bookmarkStart w:id="162" w:name="_Toc107822503"/>
      <w:bookmarkStart w:id="163" w:name="_Toc227057906"/>
      <w:bookmarkStart w:id="164" w:name="_Toc226969300"/>
      <w:r>
        <w:rPr>
          <w:rFonts w:hint="eastAsia" w:ascii="宋体" w:hAnsi="宋体"/>
          <w:color w:val="000000" w:themeColor="text1"/>
          <w:sz w:val="24"/>
          <w:szCs w:val="24"/>
          <w:highlight w:val="none"/>
          <w14:textFill>
            <w14:solidFill>
              <w14:schemeClr w14:val="tx1"/>
            </w14:solidFill>
          </w14:textFill>
        </w:rPr>
        <w:t>3.1参选文件的</w:t>
      </w:r>
      <w:bookmarkEnd w:id="150"/>
      <w:bookmarkEnd w:id="151"/>
      <w:bookmarkEnd w:id="152"/>
      <w:r>
        <w:rPr>
          <w:rFonts w:hint="eastAsia" w:ascii="宋体" w:hAnsi="宋体"/>
          <w:color w:val="000000" w:themeColor="text1"/>
          <w:sz w:val="24"/>
          <w:szCs w:val="24"/>
          <w:highlight w:val="none"/>
          <w14:textFill>
            <w14:solidFill>
              <w14:schemeClr w14:val="tx1"/>
            </w14:solidFill>
          </w14:textFill>
        </w:rPr>
        <w:t>组成</w:t>
      </w:r>
      <w:bookmarkEnd w:id="153"/>
      <w:bookmarkEnd w:id="154"/>
      <w:bookmarkEnd w:id="155"/>
      <w:bookmarkEnd w:id="156"/>
      <w:bookmarkEnd w:id="157"/>
    </w:p>
    <w:p w14:paraId="74F0E66D">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参选人应当按照参选人须知前附表的要求制作并递交参选文件。参选文件组成见参选人须知前附表。</w:t>
      </w:r>
    </w:p>
    <w:p w14:paraId="58C4E5F9">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165" w:name="_Toc447265235"/>
      <w:bookmarkStart w:id="166" w:name="_Toc447188685"/>
      <w:bookmarkStart w:id="167" w:name="_Toc25013"/>
      <w:bookmarkStart w:id="168" w:name="_Toc447265521"/>
      <w:bookmarkStart w:id="169" w:name="_Toc450489294"/>
      <w:r>
        <w:rPr>
          <w:rFonts w:hint="eastAsia" w:ascii="宋体" w:hAnsi="宋体"/>
          <w:color w:val="000000" w:themeColor="text1"/>
          <w:sz w:val="24"/>
          <w:szCs w:val="24"/>
          <w:highlight w:val="none"/>
          <w14:textFill>
            <w14:solidFill>
              <w14:schemeClr w14:val="tx1"/>
            </w14:solidFill>
          </w14:textFill>
        </w:rPr>
        <w:t>3.2参选文件的编制</w:t>
      </w:r>
      <w:bookmarkEnd w:id="165"/>
      <w:bookmarkEnd w:id="166"/>
      <w:bookmarkEnd w:id="167"/>
      <w:bookmarkEnd w:id="168"/>
      <w:bookmarkEnd w:id="169"/>
    </w:p>
    <w:p w14:paraId="14B75D66">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3.2.1参选人应当按照比选文件的要求编制参选文件，参选文件应当对比选文件提出的实质性要求和条件作出响应。</w:t>
      </w:r>
    </w:p>
    <w:p w14:paraId="5986C0A9">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3.2.2</w:t>
      </w:r>
      <w:r>
        <w:rPr>
          <w:rFonts w:hint="eastAsia" w:hAnsi="宋体"/>
          <w:color w:val="000000" w:themeColor="text1"/>
          <w:sz w:val="24"/>
          <w:szCs w:val="24"/>
          <w:highlight w:val="none"/>
          <w14:textFill>
            <w14:solidFill>
              <w14:schemeClr w14:val="tx1"/>
            </w14:solidFill>
          </w14:textFill>
        </w:rPr>
        <w:t>参选人应当认真阅读比选文件中所有的事项、格式、条款和技术规范等。参选人没有按照比选文件要求递交全部资料或者参选人没有对比选文件在各方面都作出实质性响应是参选人的风险，并可能导致其参选被否决。参选文件应答和编写的具体要求见参选人须知前附表。</w:t>
      </w:r>
    </w:p>
    <w:p w14:paraId="2199EC7D">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3.2.3参选人递交的参选文件以及参选人与比选人就有关参选的所有往来函电均应当使用中文。参选人递交的证明文件和文献可以使用另一种语言，但相应内容应当译成中文，在解释参选文件时以中文译本为准。</w:t>
      </w:r>
    </w:p>
    <w:p w14:paraId="291229C4">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3.2.4参选文件应当使用不褪色的材料书写或者打印，并加盖单位公章或者由参选人的法定代表人或者其委托代理人签字。委托代理人签字的，参选文件应当附法定代表人签署的授权委托书。参选文件应当尽量避免涂改、行间插字或者删除。如果出现上述情况，改动之处应当加盖单位公章或者由参选人的法定代表人或者其委托代理人签字确认。盖章或者签字另有要求的，见参选人须知前附表。</w:t>
      </w:r>
    </w:p>
    <w:p w14:paraId="38D8FA14">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170" w:name="_Toc447188686"/>
      <w:bookmarkStart w:id="171" w:name="_Toc447265236"/>
      <w:bookmarkStart w:id="172" w:name="_Toc450489295"/>
      <w:bookmarkStart w:id="173" w:name="_Toc3858"/>
      <w:bookmarkStart w:id="174" w:name="_Toc226969292"/>
      <w:bookmarkStart w:id="175" w:name="_Toc107822495"/>
      <w:bookmarkStart w:id="176" w:name="_Toc227057898"/>
      <w:bookmarkStart w:id="177" w:name="_Toc447265522"/>
      <w:r>
        <w:rPr>
          <w:rFonts w:hint="eastAsia" w:ascii="宋体" w:hAnsi="宋体"/>
          <w:color w:val="000000" w:themeColor="text1"/>
          <w:sz w:val="24"/>
          <w:szCs w:val="24"/>
          <w:highlight w:val="none"/>
          <w14:textFill>
            <w14:solidFill>
              <w14:schemeClr w14:val="tx1"/>
            </w14:solidFill>
          </w14:textFill>
        </w:rPr>
        <w:t>3.3参选报价</w:t>
      </w:r>
      <w:bookmarkEnd w:id="170"/>
      <w:bookmarkEnd w:id="171"/>
      <w:bookmarkEnd w:id="172"/>
      <w:bookmarkEnd w:id="173"/>
      <w:bookmarkEnd w:id="174"/>
      <w:bookmarkEnd w:id="175"/>
      <w:bookmarkEnd w:id="176"/>
      <w:bookmarkEnd w:id="177"/>
    </w:p>
    <w:p w14:paraId="76FE9BBE">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3.3.1参选人应当根据比选文件要求进行报价，参选人应当报出符合比选文件要求的拟提供参选货物的单价（如适用）和总价。</w:t>
      </w:r>
    </w:p>
    <w:p w14:paraId="20A9B6FF">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3.3.2</w:t>
      </w:r>
      <w:r>
        <w:rPr>
          <w:rFonts w:hint="eastAsia" w:hAnsi="宋体"/>
          <w:color w:val="000000" w:themeColor="text1"/>
          <w:sz w:val="24"/>
          <w:szCs w:val="24"/>
          <w:highlight w:val="none"/>
          <w14:textFill>
            <w14:solidFill>
              <w14:schemeClr w14:val="tx1"/>
            </w14:solidFill>
          </w14:textFill>
        </w:rPr>
        <w:t>参选货币：人民币。</w:t>
      </w:r>
    </w:p>
    <w:p w14:paraId="29DE0890">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3.3.3参选报价的具体要求见参选人须知前附表。</w:t>
      </w:r>
    </w:p>
    <w:p w14:paraId="45FB516E">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178" w:name="_Toc227057902"/>
      <w:bookmarkStart w:id="179" w:name="_Toc447265237"/>
      <w:bookmarkStart w:id="180" w:name="_Toc450489296"/>
      <w:bookmarkStart w:id="181" w:name="_Toc4673"/>
      <w:bookmarkStart w:id="182" w:name="_Toc447188687"/>
      <w:bookmarkStart w:id="183" w:name="_Toc107822500"/>
      <w:bookmarkStart w:id="184" w:name="_Toc226969296"/>
      <w:bookmarkStart w:id="185" w:name="_Toc447265523"/>
      <w:bookmarkStart w:id="186" w:name="_Toc226969295"/>
      <w:bookmarkStart w:id="187" w:name="_Toc227057901"/>
      <w:bookmarkStart w:id="188" w:name="_Toc107822499"/>
      <w:r>
        <w:rPr>
          <w:rFonts w:ascii="宋体" w:hAnsi="宋体"/>
          <w:color w:val="000000" w:themeColor="text1"/>
          <w:sz w:val="24"/>
          <w:szCs w:val="24"/>
          <w:highlight w:val="none"/>
          <w14:textFill>
            <w14:solidFill>
              <w14:schemeClr w14:val="tx1"/>
            </w14:solidFill>
          </w14:textFill>
        </w:rPr>
        <w:t>3.4</w:t>
      </w:r>
      <w:r>
        <w:rPr>
          <w:rFonts w:hint="eastAsia" w:ascii="宋体" w:hAnsi="宋体"/>
          <w:color w:val="000000" w:themeColor="text1"/>
          <w:sz w:val="24"/>
          <w:szCs w:val="24"/>
          <w:highlight w:val="none"/>
          <w14:textFill>
            <w14:solidFill>
              <w14:schemeClr w14:val="tx1"/>
            </w14:solidFill>
          </w14:textFill>
        </w:rPr>
        <w:t>参选有效期</w:t>
      </w:r>
      <w:bookmarkEnd w:id="178"/>
      <w:bookmarkEnd w:id="179"/>
      <w:bookmarkEnd w:id="180"/>
      <w:bookmarkEnd w:id="181"/>
      <w:bookmarkEnd w:id="182"/>
      <w:bookmarkEnd w:id="183"/>
      <w:bookmarkEnd w:id="184"/>
      <w:bookmarkEnd w:id="185"/>
    </w:p>
    <w:p w14:paraId="556FCFFD">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3.4.1参选有效期从递交参选文件截止日起计算。参选有效期的具体时间见参选人须知前附表。在此期间，参选人不得要求撤销或者修改其参选文件。参选有效期不满足比选文件要求的参选将被否决。</w:t>
      </w:r>
    </w:p>
    <w:p w14:paraId="3D8AED62">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3.4.2</w:t>
      </w:r>
      <w:r>
        <w:rPr>
          <w:rFonts w:hint="eastAsia" w:hAnsi="宋体"/>
          <w:color w:val="000000" w:themeColor="text1"/>
          <w:sz w:val="24"/>
          <w:szCs w:val="24"/>
          <w:highlight w:val="none"/>
          <w14:textFill>
            <w14:solidFill>
              <w14:schemeClr w14:val="tx1"/>
            </w14:solidFill>
          </w14:textFill>
        </w:rPr>
        <w:t>在原定参选有效期满之前，如果出现特殊情况，比选人决定延长参选有效期的，应当以书面形式向参选人提出延长参选有效期的要求，参选人须以书面形式予以答复。参选人同意延长参选有效期的，不得修改其参选文件的实质性内容，但应当相应延长其参选保证金有效期；参选人拒绝延长参选有效期的，其参选失效，参选人有权收回其参选保证金。</w:t>
      </w:r>
    </w:p>
    <w:p w14:paraId="15C1A597">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189" w:name="_Toc447265524"/>
      <w:bookmarkStart w:id="190" w:name="_Toc447188688"/>
      <w:bookmarkStart w:id="191" w:name="_Toc23822"/>
      <w:bookmarkStart w:id="192" w:name="_Toc450489297"/>
      <w:bookmarkStart w:id="193" w:name="_Toc447265238"/>
      <w:r>
        <w:rPr>
          <w:rFonts w:hint="eastAsia" w:ascii="宋体" w:hAnsi="宋体"/>
          <w:color w:val="000000" w:themeColor="text1"/>
          <w:sz w:val="24"/>
          <w:szCs w:val="24"/>
          <w:highlight w:val="none"/>
          <w14:textFill>
            <w14:solidFill>
              <w14:schemeClr w14:val="tx1"/>
            </w14:solidFill>
          </w14:textFill>
        </w:rPr>
        <w:t>3.5参选保证金</w:t>
      </w:r>
      <w:bookmarkEnd w:id="186"/>
      <w:bookmarkEnd w:id="187"/>
      <w:bookmarkEnd w:id="188"/>
      <w:bookmarkEnd w:id="189"/>
      <w:bookmarkEnd w:id="190"/>
      <w:bookmarkEnd w:id="191"/>
      <w:bookmarkEnd w:id="192"/>
      <w:bookmarkEnd w:id="193"/>
    </w:p>
    <w:p w14:paraId="40FA554B">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3.5.1比选人要求参选人递交参选保证金的，参选人必须在递交参选文件的同时，按照参选人须知前附表的规定递交参选保证金。参选保证金一般不超过项目估算价的2%，本比选项目的参选保证金金额见参选人须知前附表。</w:t>
      </w:r>
    </w:p>
    <w:p w14:paraId="5EA6E401">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3.5.2比选人可以规定参选保证金是以现金、支票、银行汇票、在中国注册的银行出具的银行保函等方式递交，参选保证金有效期应当与参选有效期一致。参选保证金的形式见参选人须知前附表。</w:t>
      </w:r>
    </w:p>
    <w:p w14:paraId="4385D853">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3.5.3比选人最迟应当在书面合同签订后5日内向中选人和未中选的参选人退还参选保证金及银行同期存款利息。</w:t>
      </w:r>
    </w:p>
    <w:p w14:paraId="00C8B974">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3.5.4</w:t>
      </w:r>
      <w:r>
        <w:rPr>
          <w:rFonts w:hint="eastAsia" w:hAnsi="宋体"/>
          <w:color w:val="000000" w:themeColor="text1"/>
          <w:sz w:val="24"/>
          <w:szCs w:val="24"/>
          <w:highlight w:val="none"/>
          <w14:textFill>
            <w14:solidFill>
              <w14:schemeClr w14:val="tx1"/>
            </w14:solidFill>
          </w14:textFill>
        </w:rPr>
        <w:t>下列任何情况发生时，参选保证金可不予退还：</w:t>
      </w:r>
    </w:p>
    <w:p w14:paraId="2F7F4DB1">
      <w:pPr>
        <w:tabs>
          <w:tab w:val="left" w:pos="630"/>
        </w:tabs>
        <w:spacing w:line="4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参选人在比选文件中规定的参选有效期内</w:t>
      </w:r>
      <w:r>
        <w:rPr>
          <w:rFonts w:hint="eastAsia" w:ascii="宋体" w:hAnsi="宋体"/>
          <w:color w:val="000000" w:themeColor="text1"/>
          <w:sz w:val="24"/>
          <w:highlight w:val="none"/>
          <w14:textFill>
            <w14:solidFill>
              <w14:schemeClr w14:val="tx1"/>
            </w14:solidFill>
          </w14:textFill>
        </w:rPr>
        <w:t>撤销参选的；</w:t>
      </w:r>
    </w:p>
    <w:p w14:paraId="41D43BC5">
      <w:pPr>
        <w:pStyle w:val="46"/>
        <w:tabs>
          <w:tab w:val="left" w:pos="630"/>
        </w:tabs>
        <w:spacing w:line="400" w:lineRule="exact"/>
        <w:ind w:left="424"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（2）中选人无正当理由不与比选人订立合同，在签订合同时向比选人提出附加条件，或者不按照比选文件要求递交履约保证金的；</w:t>
      </w:r>
    </w:p>
    <w:p w14:paraId="0605C9F3">
      <w:pPr>
        <w:pStyle w:val="46"/>
        <w:tabs>
          <w:tab w:val="left" w:pos="630"/>
        </w:tabs>
        <w:spacing w:line="400" w:lineRule="exact"/>
        <w:ind w:left="424"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参选人有串通参选、弄虚作假等行为的；</w:t>
      </w:r>
    </w:p>
    <w:p w14:paraId="2721351D">
      <w:pPr>
        <w:pStyle w:val="46"/>
        <w:tabs>
          <w:tab w:val="left" w:pos="630"/>
        </w:tabs>
        <w:spacing w:line="400" w:lineRule="exact"/>
        <w:ind w:left="424"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其他规定</w:t>
      </w:r>
      <w:r>
        <w:rPr>
          <w:rFonts w:hint="eastAsia" w:ascii="宋体" w:hAnsi="宋体"/>
          <w:color w:val="000000" w:themeColor="text1"/>
          <w:sz w:val="24"/>
          <w:highlight w:val="none"/>
          <w14:textFill>
            <w14:solidFill>
              <w14:schemeClr w14:val="tx1"/>
            </w14:solidFill>
          </w14:textFill>
        </w:rPr>
        <w:t>见参选人须知前附表</w:t>
      </w:r>
      <w:r>
        <w:rPr>
          <w:rFonts w:ascii="宋体" w:hAnsi="宋体"/>
          <w:color w:val="000000" w:themeColor="text1"/>
          <w:sz w:val="24"/>
          <w:highlight w:val="none"/>
          <w14:textFill>
            <w14:solidFill>
              <w14:schemeClr w14:val="tx1"/>
            </w14:solidFill>
          </w14:textFill>
        </w:rPr>
        <w:t>。</w:t>
      </w:r>
    </w:p>
    <w:p w14:paraId="3FFF581A">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3.5.5未递交参选保证金或者递交的参选保证金有瑕疵的参选将被否决。</w:t>
      </w:r>
    </w:p>
    <w:p w14:paraId="41E3AA9F">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194" w:name="_Toc447188689"/>
      <w:bookmarkStart w:id="195" w:name="_Toc450489298"/>
      <w:bookmarkStart w:id="196" w:name="_Toc447265525"/>
      <w:bookmarkStart w:id="197" w:name="_Toc226969297"/>
      <w:bookmarkStart w:id="198" w:name="_Toc25483"/>
      <w:bookmarkStart w:id="199" w:name="_Toc227057903"/>
      <w:bookmarkStart w:id="200" w:name="_Toc447265239"/>
      <w:bookmarkStart w:id="201" w:name="_Toc107822501"/>
      <w:r>
        <w:rPr>
          <w:rFonts w:ascii="宋体" w:hAnsi="宋体"/>
          <w:color w:val="000000" w:themeColor="text1"/>
          <w:sz w:val="24"/>
          <w:szCs w:val="24"/>
          <w:highlight w:val="none"/>
          <w14:textFill>
            <w14:solidFill>
              <w14:schemeClr w14:val="tx1"/>
            </w14:solidFill>
          </w14:textFill>
        </w:rPr>
        <w:t>3.6</w:t>
      </w:r>
      <w:r>
        <w:rPr>
          <w:rFonts w:hint="eastAsia" w:ascii="宋体" w:hAnsi="宋体"/>
          <w:color w:val="000000" w:themeColor="text1"/>
          <w:sz w:val="24"/>
          <w:szCs w:val="24"/>
          <w:highlight w:val="none"/>
          <w14:textFill>
            <w14:solidFill>
              <w14:schemeClr w14:val="tx1"/>
            </w14:solidFill>
          </w14:textFill>
        </w:rPr>
        <w:t>备选参选方案</w:t>
      </w:r>
      <w:bookmarkEnd w:id="194"/>
      <w:bookmarkEnd w:id="195"/>
      <w:bookmarkEnd w:id="196"/>
      <w:bookmarkEnd w:id="197"/>
      <w:bookmarkEnd w:id="198"/>
      <w:bookmarkEnd w:id="199"/>
      <w:bookmarkEnd w:id="200"/>
    </w:p>
    <w:p w14:paraId="5615730C">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3.6.1除参选人须知前附表另有规定外，参选人不得递交备选参选方案。</w:t>
      </w:r>
    </w:p>
    <w:p w14:paraId="0FEB72AC">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3.6.2</w:t>
      </w:r>
      <w:r>
        <w:rPr>
          <w:rFonts w:hint="eastAsia" w:hAnsi="宋体"/>
          <w:color w:val="000000" w:themeColor="text1"/>
          <w:sz w:val="24"/>
          <w:szCs w:val="24"/>
          <w:highlight w:val="none"/>
          <w14:textFill>
            <w14:solidFill>
              <w14:schemeClr w14:val="tx1"/>
            </w14:solidFill>
          </w14:textFill>
        </w:rPr>
        <w:t>若比选人在比选文件中邀请参选人递交备选方案，则参选人除按照比选文件规定的基本方案编制和递交参选文件外，可以附加递交备选参选方案。</w:t>
      </w:r>
    </w:p>
    <w:p w14:paraId="569AE5C2">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3.6.3</w:t>
      </w:r>
      <w:r>
        <w:rPr>
          <w:rFonts w:hint="eastAsia" w:hAnsi="宋体"/>
          <w:color w:val="000000" w:themeColor="text1"/>
          <w:sz w:val="24"/>
          <w:szCs w:val="24"/>
          <w:highlight w:val="none"/>
          <w14:textFill>
            <w14:solidFill>
              <w14:schemeClr w14:val="tx1"/>
            </w14:solidFill>
          </w14:textFill>
        </w:rPr>
        <w:t>备选参选方案应当说明其对基本方案的改进意见和带来的效益，并附必要的图纸、设计计算、技术要求及其它有关资料，在封面上应当注明“备选参选方案”字样。</w:t>
      </w:r>
    </w:p>
    <w:p w14:paraId="0F6D22F0">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3.6.4允许参选人递交备选参选方案的，只有符合比选文件要求且综合评分最高而被推荐为中选候选人的参选人所递交的备选参选方案，可予以考虑。评选委员会认为其备选参选方案优于其按照比选文件要求编制的参选方案的，比选人可以接受该备选参选方案。</w:t>
      </w:r>
    </w:p>
    <w:p w14:paraId="68E21465">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202" w:name="_Toc226969298"/>
      <w:bookmarkStart w:id="203" w:name="_Toc227057904"/>
      <w:bookmarkStart w:id="204" w:name="_Toc447188690"/>
      <w:bookmarkStart w:id="205" w:name="_Toc450489299"/>
      <w:bookmarkStart w:id="206" w:name="_Toc447265240"/>
      <w:bookmarkStart w:id="207" w:name="_Toc1419"/>
      <w:bookmarkStart w:id="208" w:name="_Toc447265526"/>
      <w:r>
        <w:rPr>
          <w:rFonts w:hint="eastAsia" w:ascii="宋体" w:hAnsi="宋体"/>
          <w:color w:val="000000" w:themeColor="text1"/>
          <w:sz w:val="24"/>
          <w:szCs w:val="24"/>
          <w:highlight w:val="none"/>
          <w14:textFill>
            <w14:solidFill>
              <w14:schemeClr w14:val="tx1"/>
            </w14:solidFill>
          </w14:textFill>
        </w:rPr>
        <w:t>3.7参选文件的式样</w:t>
      </w:r>
      <w:bookmarkEnd w:id="201"/>
      <w:bookmarkEnd w:id="202"/>
      <w:bookmarkEnd w:id="203"/>
      <w:r>
        <w:rPr>
          <w:rFonts w:hint="eastAsia" w:ascii="宋体" w:hAnsi="宋体"/>
          <w:color w:val="000000" w:themeColor="text1"/>
          <w:sz w:val="24"/>
          <w:szCs w:val="24"/>
          <w:highlight w:val="none"/>
          <w14:textFill>
            <w14:solidFill>
              <w14:schemeClr w14:val="tx1"/>
            </w14:solidFill>
          </w14:textFill>
        </w:rPr>
        <w:t>、密封和标记</w:t>
      </w:r>
      <w:bookmarkEnd w:id="204"/>
      <w:bookmarkEnd w:id="205"/>
      <w:bookmarkEnd w:id="206"/>
      <w:bookmarkEnd w:id="207"/>
      <w:bookmarkEnd w:id="208"/>
    </w:p>
    <w:p w14:paraId="44356445">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3.7.1</w:t>
      </w:r>
      <w:r>
        <w:rPr>
          <w:rFonts w:hint="eastAsia" w:hAnsi="宋体"/>
          <w:color w:val="000000" w:themeColor="text1"/>
          <w:sz w:val="24"/>
          <w:szCs w:val="24"/>
          <w:highlight w:val="none"/>
          <w14:textFill>
            <w14:solidFill>
              <w14:schemeClr w14:val="tx1"/>
            </w14:solidFill>
          </w14:textFill>
        </w:rPr>
        <w:t>参选人应当编制一份参选文件“正本”和参选人须知前附表所述份数的“副本”和“电子版”，副本为正本复印件。参选文件正本和副本如有不一致之处，以正本为准；纸质版文件与电子版文件不一致时，以纸质版文件为准。</w:t>
      </w:r>
    </w:p>
    <w:p w14:paraId="4F549564">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3.7.2每份参选文件的正本、副本及电子版应当分别装订，并于封面上明确标明“正本”、“副本”和“电子版”字样。</w:t>
      </w:r>
    </w:p>
    <w:p w14:paraId="7AF3ED80">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3.7.3参选文件应当按照比选文件规定密封包装，并于封装封面上明确标明“正本”、“副本”和“电子版”字样。密封的所有粘接缝隙必须加盖单位公章或者由参选人的法定代表人或者其委托代理人签字。</w:t>
      </w:r>
    </w:p>
    <w:p w14:paraId="7AEB2EF9">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3.7.4外层包封应当写明比选人名称和地址、项目名称、比选编号、并注明唱价时间以前不得开封。还应当写明参选人的名称与地址、邮政编码，以便参选出现逾期送达时能原封退回。</w:t>
      </w:r>
    </w:p>
    <w:p w14:paraId="2B7600D1">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3.7.5递交参选文件时，比选人应当对符合比选文件规定密封和标记的参选文件进行签收。</w:t>
      </w:r>
    </w:p>
    <w:p w14:paraId="690A1D3A">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3.7.6</w:t>
      </w:r>
      <w:r>
        <w:rPr>
          <w:rFonts w:hint="eastAsia" w:hAnsi="宋体"/>
          <w:color w:val="000000" w:themeColor="text1"/>
          <w:sz w:val="24"/>
          <w:szCs w:val="24"/>
          <w:highlight w:val="none"/>
          <w14:textFill>
            <w14:solidFill>
              <w14:schemeClr w14:val="tx1"/>
            </w14:solidFill>
          </w14:textFill>
        </w:rPr>
        <w:t>比选人对于参选文件密封、标记另有要求的，见参选人须知前附表。</w:t>
      </w:r>
    </w:p>
    <w:bookmarkEnd w:id="158"/>
    <w:bookmarkEnd w:id="159"/>
    <w:bookmarkEnd w:id="160"/>
    <w:p w14:paraId="441028F7">
      <w:pPr>
        <w:pStyle w:val="35"/>
        <w:numPr>
          <w:ilvl w:val="0"/>
          <w:numId w:val="3"/>
        </w:numPr>
        <w:tabs>
          <w:tab w:val="left" w:pos="588"/>
        </w:tabs>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209" w:name="_Toc477190297"/>
      <w:bookmarkEnd w:id="209"/>
      <w:bookmarkStart w:id="210" w:name="_Toc477190296"/>
      <w:bookmarkEnd w:id="210"/>
      <w:bookmarkStart w:id="211" w:name="_Toc25683"/>
      <w:r>
        <w:rPr>
          <w:rFonts w:hint="eastAsia" w:ascii="宋体" w:hAnsi="宋体"/>
          <w:color w:val="000000" w:themeColor="text1"/>
          <w:sz w:val="24"/>
          <w:szCs w:val="24"/>
          <w:highlight w:val="none"/>
          <w14:textFill>
            <w14:solidFill>
              <w14:schemeClr w14:val="tx1"/>
            </w14:solidFill>
          </w14:textFill>
        </w:rPr>
        <w:t>参选</w:t>
      </w:r>
      <w:bookmarkEnd w:id="211"/>
    </w:p>
    <w:p w14:paraId="3B005EFA">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212" w:name="_Toc447265243"/>
      <w:bookmarkStart w:id="213" w:name="_Toc447188692"/>
      <w:bookmarkStart w:id="214" w:name="_Toc447265529"/>
      <w:bookmarkStart w:id="215" w:name="_Toc2576"/>
      <w:r>
        <w:rPr>
          <w:rFonts w:hint="eastAsia" w:ascii="宋体" w:hAnsi="宋体"/>
          <w:color w:val="000000" w:themeColor="text1"/>
          <w:sz w:val="24"/>
          <w:szCs w:val="24"/>
          <w:highlight w:val="none"/>
          <w14:textFill>
            <w14:solidFill>
              <w14:schemeClr w14:val="tx1"/>
            </w14:solidFill>
          </w14:textFill>
        </w:rPr>
        <w:t>4.1</w:t>
      </w:r>
      <w:bookmarkEnd w:id="161"/>
      <w:bookmarkEnd w:id="162"/>
      <w:r>
        <w:rPr>
          <w:rFonts w:hint="eastAsia" w:ascii="宋体" w:hAnsi="宋体"/>
          <w:color w:val="000000" w:themeColor="text1"/>
          <w:sz w:val="24"/>
          <w:szCs w:val="24"/>
          <w:highlight w:val="none"/>
          <w14:textFill>
            <w14:solidFill>
              <w14:schemeClr w14:val="tx1"/>
            </w14:solidFill>
          </w14:textFill>
        </w:rPr>
        <w:t>参选文件的递交</w:t>
      </w:r>
      <w:bookmarkEnd w:id="163"/>
      <w:bookmarkEnd w:id="164"/>
      <w:bookmarkEnd w:id="212"/>
      <w:bookmarkEnd w:id="213"/>
      <w:bookmarkEnd w:id="214"/>
      <w:bookmarkEnd w:id="215"/>
    </w:p>
    <w:p w14:paraId="18486F18">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bookmarkStart w:id="216" w:name="_Toc488655849"/>
      <w:bookmarkStart w:id="217" w:name="_Toc107822504"/>
      <w:bookmarkStart w:id="218" w:name="_Toc488655850"/>
      <w:bookmarkStart w:id="219" w:name="_Toc107822505"/>
      <w:bookmarkStart w:id="220" w:name="_Toc227057907"/>
      <w:bookmarkStart w:id="221" w:name="_Toc226969301"/>
      <w:bookmarkStart w:id="222" w:name="_Toc447265244"/>
      <w:bookmarkStart w:id="223" w:name="_Toc447265530"/>
      <w:bookmarkStart w:id="224" w:name="_Toc447188693"/>
      <w:r>
        <w:rPr>
          <w:rFonts w:hint="eastAsia" w:hAnsi="宋体"/>
          <w:color w:val="000000" w:themeColor="text1"/>
          <w:sz w:val="24"/>
          <w:szCs w:val="24"/>
          <w:highlight w:val="none"/>
          <w14:textFill>
            <w14:solidFill>
              <w14:schemeClr w14:val="tx1"/>
            </w14:solidFill>
          </w14:textFill>
        </w:rPr>
        <w:t>4.1.1参选文件递交截止时间：见参选人须知前附表。</w:t>
      </w:r>
    </w:p>
    <w:p w14:paraId="2DDAB021">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4.1.2</w:t>
      </w:r>
      <w:r>
        <w:rPr>
          <w:rFonts w:hint="eastAsia" w:hAnsi="宋体"/>
          <w:color w:val="000000" w:themeColor="text1"/>
          <w:sz w:val="24"/>
          <w:szCs w:val="24"/>
          <w:highlight w:val="none"/>
          <w14:textFill>
            <w14:solidFill>
              <w14:schemeClr w14:val="tx1"/>
            </w14:solidFill>
          </w14:textFill>
        </w:rPr>
        <w:t>参选文件递交地点：见参选人须知前附表。</w:t>
      </w:r>
    </w:p>
    <w:p w14:paraId="39A3B59C">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4.1.3比选人收到参选文件后，向参选人出具签收凭证。</w:t>
      </w:r>
    </w:p>
    <w:p w14:paraId="587AF06C">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4.1.4</w:t>
      </w:r>
      <w:r>
        <w:rPr>
          <w:rFonts w:hint="eastAsia" w:hAnsi="宋体"/>
          <w:color w:val="000000" w:themeColor="text1"/>
          <w:sz w:val="24"/>
          <w:szCs w:val="24"/>
          <w:highlight w:val="none"/>
          <w14:textFill>
            <w14:solidFill>
              <w14:schemeClr w14:val="tx1"/>
            </w14:solidFill>
          </w14:textFill>
        </w:rPr>
        <w:t>除参选人须知前附表另有规定外，参选人所递交的参选文件不予退还。</w:t>
      </w:r>
    </w:p>
    <w:p w14:paraId="7F663566">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4.1.5出现以下情形时，比选人/比选代理机构不予接收参选文件：</w:t>
      </w:r>
    </w:p>
    <w:p w14:paraId="0F1B85EA">
      <w:pPr>
        <w:pStyle w:val="46"/>
        <w:numPr>
          <w:ilvl w:val="0"/>
          <w:numId w:val="6"/>
        </w:numPr>
        <w:tabs>
          <w:tab w:val="left" w:pos="993"/>
        </w:tabs>
        <w:spacing w:line="40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逾期送达或者未送达指定地点的；</w:t>
      </w:r>
    </w:p>
    <w:p w14:paraId="2DED1F3A">
      <w:pPr>
        <w:pStyle w:val="46"/>
        <w:numPr>
          <w:ilvl w:val="0"/>
          <w:numId w:val="6"/>
        </w:numPr>
        <w:tabs>
          <w:tab w:val="left" w:pos="993"/>
        </w:tabs>
        <w:spacing w:line="40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未按照比选文件要求密封的；</w:t>
      </w:r>
    </w:p>
    <w:p w14:paraId="7CD3B6E7">
      <w:pPr>
        <w:pStyle w:val="46"/>
        <w:numPr>
          <w:ilvl w:val="0"/>
          <w:numId w:val="6"/>
        </w:numPr>
        <w:tabs>
          <w:tab w:val="left" w:pos="993"/>
        </w:tabs>
        <w:spacing w:line="40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未通过资格预审的申请人递交的；</w:t>
      </w:r>
    </w:p>
    <w:p w14:paraId="611CBD05">
      <w:pPr>
        <w:pStyle w:val="46"/>
        <w:numPr>
          <w:ilvl w:val="0"/>
          <w:numId w:val="6"/>
        </w:numPr>
        <w:tabs>
          <w:tab w:val="left" w:pos="993"/>
        </w:tabs>
        <w:spacing w:line="40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未按照第一章“比选公告”或者“参选邀请书”要求获得本项目比选文件的。</w:t>
      </w:r>
    </w:p>
    <w:p w14:paraId="268C4175">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4.1.6递交参选文件的参选人不足三家的，比选人可对两家参选人继续组织评选，或与一家参选人定向谈判，或重新组织比选。具体处理原则见参选人须知前附表。</w:t>
      </w:r>
    </w:p>
    <w:bookmarkEnd w:id="216"/>
    <w:bookmarkEnd w:id="217"/>
    <w:p w14:paraId="6DB7FAC5">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225" w:name="_Toc24910"/>
      <w:r>
        <w:rPr>
          <w:rFonts w:ascii="宋体" w:hAnsi="宋体"/>
          <w:color w:val="000000" w:themeColor="text1"/>
          <w:sz w:val="24"/>
          <w:szCs w:val="24"/>
          <w:highlight w:val="none"/>
          <w14:textFill>
            <w14:solidFill>
              <w14:schemeClr w14:val="tx1"/>
            </w14:solidFill>
          </w14:textFill>
        </w:rPr>
        <w:t>4.2</w:t>
      </w:r>
      <w:r>
        <w:rPr>
          <w:rFonts w:hint="eastAsia" w:ascii="宋体" w:hAnsi="宋体"/>
          <w:color w:val="000000" w:themeColor="text1"/>
          <w:sz w:val="24"/>
          <w:szCs w:val="24"/>
          <w:highlight w:val="none"/>
          <w14:textFill>
            <w14:solidFill>
              <w14:schemeClr w14:val="tx1"/>
            </w14:solidFill>
          </w14:textFill>
        </w:rPr>
        <w:t>参选文件的修改、撤回</w:t>
      </w:r>
      <w:bookmarkEnd w:id="218"/>
      <w:bookmarkEnd w:id="219"/>
      <w:bookmarkEnd w:id="220"/>
      <w:bookmarkEnd w:id="221"/>
      <w:r>
        <w:rPr>
          <w:rFonts w:hint="eastAsia" w:ascii="宋体" w:hAnsi="宋体"/>
          <w:color w:val="000000" w:themeColor="text1"/>
          <w:sz w:val="24"/>
          <w:szCs w:val="24"/>
          <w:highlight w:val="none"/>
          <w14:textFill>
            <w14:solidFill>
              <w14:schemeClr w14:val="tx1"/>
            </w14:solidFill>
          </w14:textFill>
        </w:rPr>
        <w:t>和撤销</w:t>
      </w:r>
      <w:bookmarkEnd w:id="222"/>
      <w:bookmarkEnd w:id="223"/>
      <w:bookmarkEnd w:id="224"/>
      <w:bookmarkEnd w:id="225"/>
    </w:p>
    <w:p w14:paraId="461C4C88">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bookmarkStart w:id="226" w:name="_Toc144974527"/>
      <w:bookmarkStart w:id="227" w:name="_Toc246996203"/>
      <w:bookmarkStart w:id="228" w:name="_Toc447265531"/>
      <w:bookmarkStart w:id="229" w:name="_Toc247085717"/>
      <w:bookmarkStart w:id="230" w:name="_Toc179632577"/>
      <w:bookmarkStart w:id="231" w:name="_Toc296602447"/>
      <w:bookmarkStart w:id="232" w:name="_Toc152045559"/>
      <w:bookmarkStart w:id="233" w:name="_Toc447188694"/>
      <w:bookmarkStart w:id="234" w:name="_Toc246996946"/>
      <w:bookmarkStart w:id="235" w:name="_Toc152042335"/>
      <w:bookmarkStart w:id="236" w:name="_Toc447265245"/>
      <w:bookmarkStart w:id="237" w:name="_Toc227057908"/>
      <w:bookmarkStart w:id="238" w:name="_Toc226969302"/>
      <w:bookmarkStart w:id="239" w:name="_Toc488655852"/>
      <w:bookmarkStart w:id="240" w:name="_Toc107822506"/>
      <w:r>
        <w:rPr>
          <w:rFonts w:hAnsi="宋体"/>
          <w:color w:val="000000" w:themeColor="text1"/>
          <w:sz w:val="24"/>
          <w:szCs w:val="24"/>
          <w:highlight w:val="none"/>
          <w14:textFill>
            <w14:solidFill>
              <w14:schemeClr w14:val="tx1"/>
            </w14:solidFill>
          </w14:textFill>
        </w:rPr>
        <w:t>4.2.1</w:t>
      </w:r>
      <w:r>
        <w:rPr>
          <w:rFonts w:hint="eastAsia" w:hAnsi="宋体"/>
          <w:color w:val="000000" w:themeColor="text1"/>
          <w:sz w:val="24"/>
          <w:szCs w:val="24"/>
          <w:highlight w:val="none"/>
          <w14:textFill>
            <w14:solidFill>
              <w14:schemeClr w14:val="tx1"/>
            </w14:solidFill>
          </w14:textFill>
        </w:rPr>
        <w:t>在规定的参选截止时间前，参选人可以修改或者撤回已递交的参选文件。</w:t>
      </w:r>
    </w:p>
    <w:p w14:paraId="46B0C5B6">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4.2.2</w:t>
      </w:r>
      <w:r>
        <w:rPr>
          <w:rFonts w:hint="eastAsia" w:hAnsi="宋体"/>
          <w:color w:val="000000" w:themeColor="text1"/>
          <w:sz w:val="24"/>
          <w:szCs w:val="24"/>
          <w:highlight w:val="none"/>
          <w14:textFill>
            <w14:solidFill>
              <w14:schemeClr w14:val="tx1"/>
            </w14:solidFill>
          </w14:textFill>
        </w:rPr>
        <w:t>参选人修改后的参选文件，应当在规定的参选截止时间前按照比选文件的规定编制、密封、标记、递交。</w:t>
      </w:r>
    </w:p>
    <w:p w14:paraId="069DBBD3">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4.2.3</w:t>
      </w:r>
      <w:r>
        <w:rPr>
          <w:rFonts w:hint="eastAsia" w:hAnsi="宋体"/>
          <w:color w:val="000000" w:themeColor="text1"/>
          <w:sz w:val="24"/>
          <w:szCs w:val="24"/>
          <w:highlight w:val="none"/>
          <w14:textFill>
            <w14:solidFill>
              <w14:schemeClr w14:val="tx1"/>
            </w14:solidFill>
          </w14:textFill>
        </w:rPr>
        <w:t>参选人撤回已递交的参选文件，应当书面通知比选人。比选人已收取参选保证金的，应当自收到参选人书面撤回通知之日起5日内退还。</w:t>
      </w:r>
    </w:p>
    <w:p w14:paraId="6C3B45EC">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4.2.4参选人在规定的参选截止时间后，不得在参选有效期内撤销其参选。否则比选人有权不退还其参选保证金。</w:t>
      </w:r>
    </w:p>
    <w:bookmarkEnd w:id="226"/>
    <w:bookmarkEnd w:id="227"/>
    <w:bookmarkEnd w:id="228"/>
    <w:bookmarkEnd w:id="229"/>
    <w:bookmarkEnd w:id="230"/>
    <w:bookmarkEnd w:id="231"/>
    <w:bookmarkEnd w:id="232"/>
    <w:bookmarkEnd w:id="233"/>
    <w:bookmarkEnd w:id="234"/>
    <w:bookmarkEnd w:id="235"/>
    <w:bookmarkEnd w:id="236"/>
    <w:p w14:paraId="38F65862">
      <w:pPr>
        <w:pStyle w:val="35"/>
        <w:numPr>
          <w:ilvl w:val="0"/>
          <w:numId w:val="3"/>
        </w:numPr>
        <w:tabs>
          <w:tab w:val="left" w:pos="588"/>
        </w:tabs>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241" w:name="_Toc5671"/>
      <w:r>
        <w:rPr>
          <w:rFonts w:hint="eastAsia" w:ascii="宋体" w:hAnsi="宋体"/>
          <w:color w:val="000000" w:themeColor="text1"/>
          <w:sz w:val="24"/>
          <w:szCs w:val="24"/>
          <w:highlight w:val="none"/>
          <w14:textFill>
            <w14:solidFill>
              <w14:schemeClr w14:val="tx1"/>
            </w14:solidFill>
          </w14:textFill>
        </w:rPr>
        <w:t>唱价</w:t>
      </w:r>
      <w:bookmarkEnd w:id="241"/>
    </w:p>
    <w:p w14:paraId="5DA985EF">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242" w:name="_Toc19474"/>
      <w:bookmarkStart w:id="243" w:name="_Toc447188695"/>
      <w:bookmarkStart w:id="244" w:name="_Toc447265246"/>
      <w:bookmarkStart w:id="245" w:name="_Toc447265532"/>
      <w:r>
        <w:rPr>
          <w:rFonts w:hint="eastAsia" w:ascii="宋体" w:hAnsi="宋体"/>
          <w:color w:val="000000" w:themeColor="text1"/>
          <w:sz w:val="24"/>
          <w:szCs w:val="24"/>
          <w:highlight w:val="none"/>
          <w14:textFill>
            <w14:solidFill>
              <w14:schemeClr w14:val="tx1"/>
            </w14:solidFill>
          </w14:textFill>
        </w:rPr>
        <w:t>5.1</w:t>
      </w:r>
      <w:bookmarkEnd w:id="237"/>
      <w:bookmarkEnd w:id="238"/>
      <w:bookmarkEnd w:id="239"/>
      <w:bookmarkEnd w:id="240"/>
      <w:r>
        <w:rPr>
          <w:rFonts w:hint="eastAsia" w:ascii="宋体" w:hAnsi="宋体"/>
          <w:color w:val="000000" w:themeColor="text1"/>
          <w:sz w:val="24"/>
          <w:szCs w:val="24"/>
          <w:highlight w:val="none"/>
          <w14:textFill>
            <w14:solidFill>
              <w14:schemeClr w14:val="tx1"/>
            </w14:solidFill>
          </w14:textFill>
        </w:rPr>
        <w:t>唱价时间和地点</w:t>
      </w:r>
      <w:bookmarkEnd w:id="242"/>
      <w:bookmarkEnd w:id="243"/>
      <w:bookmarkEnd w:id="244"/>
      <w:bookmarkEnd w:id="245"/>
    </w:p>
    <w:p w14:paraId="4B8415F6">
      <w:pPr>
        <w:pStyle w:val="21"/>
        <w:tabs>
          <w:tab w:val="left" w:pos="630"/>
        </w:tabs>
        <w:snapToGrid w:val="0"/>
        <w:spacing w:line="440" w:lineRule="exact"/>
        <w:ind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比选人将按照参选人须知前附表规定的时间和地点公开唱价，参加唱价的参选人代表应当签名报到，以证明其出席唱价。唱价时间和参选截止时间应当为同一时间。</w:t>
      </w:r>
    </w:p>
    <w:p w14:paraId="254B6D0A">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246" w:name="_Toc447265533"/>
      <w:bookmarkStart w:id="247" w:name="_Toc24671"/>
      <w:bookmarkStart w:id="248" w:name="_Toc447188696"/>
      <w:bookmarkStart w:id="249" w:name="_Toc447265247"/>
      <w:r>
        <w:rPr>
          <w:rFonts w:hint="eastAsia" w:ascii="宋体" w:hAnsi="宋体"/>
          <w:color w:val="000000" w:themeColor="text1"/>
          <w:sz w:val="24"/>
          <w:szCs w:val="24"/>
          <w:highlight w:val="none"/>
          <w14:textFill>
            <w14:solidFill>
              <w14:schemeClr w14:val="tx1"/>
            </w14:solidFill>
          </w14:textFill>
        </w:rPr>
        <w:t>5.2唱价程序</w:t>
      </w:r>
      <w:bookmarkEnd w:id="246"/>
      <w:bookmarkEnd w:id="247"/>
      <w:bookmarkEnd w:id="248"/>
      <w:bookmarkEnd w:id="249"/>
    </w:p>
    <w:p w14:paraId="59A2D6F9">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bookmarkStart w:id="250" w:name="_Toc152042338"/>
      <w:bookmarkStart w:id="251" w:name="_Toc447265250"/>
      <w:bookmarkStart w:id="252" w:name="_Toc179632580"/>
      <w:bookmarkStart w:id="253" w:name="_Toc247085720"/>
      <w:bookmarkStart w:id="254" w:name="_Toc296602451"/>
      <w:bookmarkStart w:id="255" w:name="_Toc447188699"/>
      <w:bookmarkStart w:id="256" w:name="_Toc144974530"/>
      <w:bookmarkStart w:id="257" w:name="_Toc246996949"/>
      <w:bookmarkStart w:id="258" w:name="_Toc152045562"/>
      <w:bookmarkStart w:id="259" w:name="_Toc447265536"/>
      <w:bookmarkStart w:id="260" w:name="_Toc246996206"/>
      <w:bookmarkStart w:id="261" w:name="_Toc107822507"/>
      <w:bookmarkStart w:id="262" w:name="_Toc227057909"/>
      <w:bookmarkStart w:id="263" w:name="_Toc226969303"/>
      <w:r>
        <w:rPr>
          <w:rFonts w:hint="eastAsia" w:hAnsi="宋体"/>
          <w:color w:val="000000" w:themeColor="text1"/>
          <w:sz w:val="24"/>
          <w:szCs w:val="24"/>
          <w:highlight w:val="none"/>
          <w14:textFill>
            <w14:solidFill>
              <w14:schemeClr w14:val="tx1"/>
            </w14:solidFill>
          </w14:textFill>
        </w:rPr>
        <w:t>5.2.1唱价会议由比选人或者其委托的比选代理机构组织并主持，邀请所有的参选人或者其代表出席。参选人代表或者比选人委托的公证机构对参选文件密封性进行检查。</w:t>
      </w:r>
    </w:p>
    <w:p w14:paraId="571DED17">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5.2.2</w:t>
      </w:r>
      <w:r>
        <w:rPr>
          <w:rFonts w:hAnsi="宋体"/>
          <w:color w:val="000000" w:themeColor="text1"/>
          <w:sz w:val="24"/>
          <w:szCs w:val="24"/>
          <w:highlight w:val="none"/>
          <w14:textFill>
            <w14:solidFill>
              <w14:schemeClr w14:val="tx1"/>
            </w14:solidFill>
          </w14:textFill>
        </w:rPr>
        <w:t>比选人在参选文件递交截止时间前收到的所有参选文件在唱价时都应当当众予以拆封</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宣读</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但</w:t>
      </w:r>
      <w:r>
        <w:rPr>
          <w:rFonts w:hint="eastAsia" w:hAnsi="宋体"/>
          <w:color w:val="000000" w:themeColor="text1"/>
          <w:sz w:val="24"/>
          <w:szCs w:val="24"/>
          <w:highlight w:val="none"/>
          <w14:textFill>
            <w14:solidFill>
              <w14:schemeClr w14:val="tx1"/>
            </w14:solidFill>
          </w14:textFill>
        </w:rPr>
        <w:t>按照比选文件规定递交合格的书面撤回通知的参选文件不予开封。</w:t>
      </w:r>
    </w:p>
    <w:p w14:paraId="321D7501">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5.2.3</w:t>
      </w:r>
      <w:r>
        <w:rPr>
          <w:rFonts w:hint="eastAsia" w:hAnsi="宋体"/>
          <w:color w:val="000000" w:themeColor="text1"/>
          <w:sz w:val="24"/>
          <w:szCs w:val="24"/>
          <w:highlight w:val="none"/>
          <w14:textFill>
            <w14:solidFill>
              <w14:schemeClr w14:val="tx1"/>
            </w14:solidFill>
          </w14:textFill>
        </w:rPr>
        <w:t>唱价时，比选人应当当众宣布参加本项目比选的参选人个数及参选文件的密封情况，并宣读有效参选的“参选一览表”中的内容，“参选一览表”一般包括：参选人名称、参选总报价、交货期、参选保证金以及比选文件中规定的其他内容。</w:t>
      </w:r>
    </w:p>
    <w:p w14:paraId="2F1E858D">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5.2.4唱价内容填写在“唱价记录表”中，由唱价人、记录人、参选人代表、监督人签字确认，存档备查。</w:t>
      </w:r>
    </w:p>
    <w:p w14:paraId="40F63210">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264" w:name="_Toc450489307"/>
      <w:bookmarkStart w:id="265" w:name="_Toc9983"/>
      <w:bookmarkStart w:id="266" w:name="_Toc447188697"/>
      <w:bookmarkStart w:id="267" w:name="_Toc447265534"/>
      <w:bookmarkStart w:id="268" w:name="_Toc447265248"/>
      <w:r>
        <w:rPr>
          <w:rFonts w:ascii="宋体" w:hAnsi="宋体"/>
          <w:color w:val="000000" w:themeColor="text1"/>
          <w:sz w:val="24"/>
          <w:szCs w:val="24"/>
          <w:highlight w:val="none"/>
          <w14:textFill>
            <w14:solidFill>
              <w14:schemeClr w14:val="tx1"/>
            </w14:solidFill>
          </w14:textFill>
        </w:rPr>
        <w:t>5.3</w:t>
      </w:r>
      <w:r>
        <w:rPr>
          <w:rFonts w:hint="eastAsia" w:ascii="宋体" w:hAnsi="宋体"/>
          <w:color w:val="000000" w:themeColor="text1"/>
          <w:sz w:val="24"/>
          <w:szCs w:val="24"/>
          <w:highlight w:val="none"/>
          <w14:textFill>
            <w14:solidFill>
              <w14:schemeClr w14:val="tx1"/>
            </w14:solidFill>
          </w14:textFill>
        </w:rPr>
        <w:t>异议</w:t>
      </w:r>
      <w:bookmarkEnd w:id="264"/>
      <w:bookmarkEnd w:id="265"/>
      <w:bookmarkEnd w:id="266"/>
      <w:bookmarkEnd w:id="267"/>
      <w:bookmarkEnd w:id="268"/>
    </w:p>
    <w:p w14:paraId="3FEB605C">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5.3.1参选人对唱价有异议的，应当在唱价现场提出，比选人应当当场做出答复，并制作记录。</w:t>
      </w:r>
    </w:p>
    <w:p w14:paraId="43DC8D60">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5.3.2</w:t>
      </w:r>
      <w:r>
        <w:rPr>
          <w:rFonts w:hint="eastAsia" w:hAnsi="宋体"/>
          <w:color w:val="000000" w:themeColor="text1"/>
          <w:sz w:val="24"/>
          <w:szCs w:val="24"/>
          <w:highlight w:val="none"/>
          <w14:textFill>
            <w14:solidFill>
              <w14:schemeClr w14:val="tx1"/>
            </w14:solidFill>
          </w14:textFill>
        </w:rPr>
        <w:t>参选人认为存在低于成本价参选情形的，可以在唱价现场提出异议，并在评选完成前向比选人递交书面材料，比选人应当及时将书面材料转交评选委员会。</w:t>
      </w:r>
    </w:p>
    <w:bookmarkEnd w:id="250"/>
    <w:bookmarkEnd w:id="251"/>
    <w:bookmarkEnd w:id="252"/>
    <w:bookmarkEnd w:id="253"/>
    <w:bookmarkEnd w:id="254"/>
    <w:bookmarkEnd w:id="255"/>
    <w:bookmarkEnd w:id="256"/>
    <w:bookmarkEnd w:id="257"/>
    <w:bookmarkEnd w:id="258"/>
    <w:bookmarkEnd w:id="259"/>
    <w:bookmarkEnd w:id="260"/>
    <w:p w14:paraId="7F28818D">
      <w:pPr>
        <w:pStyle w:val="35"/>
        <w:numPr>
          <w:ilvl w:val="0"/>
          <w:numId w:val="3"/>
        </w:numPr>
        <w:tabs>
          <w:tab w:val="left" w:pos="588"/>
        </w:tabs>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269" w:name="_Toc477190305"/>
      <w:bookmarkEnd w:id="269"/>
      <w:bookmarkStart w:id="270" w:name="_Toc477190306"/>
      <w:bookmarkEnd w:id="270"/>
      <w:bookmarkStart w:id="271" w:name="_Toc6009"/>
      <w:r>
        <w:rPr>
          <w:rFonts w:hint="eastAsia" w:ascii="宋体" w:hAnsi="宋体"/>
          <w:color w:val="000000" w:themeColor="text1"/>
          <w:sz w:val="24"/>
          <w:szCs w:val="24"/>
          <w:highlight w:val="none"/>
          <w14:textFill>
            <w14:solidFill>
              <w14:schemeClr w14:val="tx1"/>
            </w14:solidFill>
          </w14:textFill>
        </w:rPr>
        <w:t>评选</w:t>
      </w:r>
      <w:bookmarkEnd w:id="271"/>
    </w:p>
    <w:p w14:paraId="4FFEEAB8">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272" w:name="_Toc447265537"/>
      <w:bookmarkStart w:id="273" w:name="_Toc447188700"/>
      <w:bookmarkStart w:id="274" w:name="_Toc447265251"/>
      <w:bookmarkStart w:id="275" w:name="_Toc19498"/>
      <w:r>
        <w:rPr>
          <w:rFonts w:hint="eastAsia" w:ascii="宋体" w:hAnsi="宋体"/>
          <w:color w:val="000000" w:themeColor="text1"/>
          <w:sz w:val="24"/>
          <w:szCs w:val="24"/>
          <w:highlight w:val="none"/>
          <w14:textFill>
            <w14:solidFill>
              <w14:schemeClr w14:val="tx1"/>
            </w14:solidFill>
          </w14:textFill>
        </w:rPr>
        <w:t>6.1评选委员会</w:t>
      </w:r>
      <w:bookmarkEnd w:id="261"/>
      <w:bookmarkEnd w:id="262"/>
      <w:bookmarkEnd w:id="263"/>
      <w:bookmarkEnd w:id="272"/>
      <w:bookmarkEnd w:id="273"/>
      <w:bookmarkEnd w:id="274"/>
      <w:bookmarkEnd w:id="275"/>
    </w:p>
    <w:p w14:paraId="017F6F49">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bookmarkStart w:id="276" w:name="_Toc447265541"/>
      <w:bookmarkStart w:id="277" w:name="_Toc447188703"/>
      <w:bookmarkStart w:id="278" w:name="_Toc447265255"/>
      <w:bookmarkStart w:id="279" w:name="_Toc107822516"/>
      <w:bookmarkStart w:id="280" w:name="_Toc226969309"/>
      <w:bookmarkStart w:id="281" w:name="_Toc488655860"/>
      <w:bookmarkStart w:id="282" w:name="_Toc227057915"/>
      <w:r>
        <w:rPr>
          <w:rFonts w:hint="eastAsia" w:hAnsi="宋体"/>
          <w:color w:val="000000" w:themeColor="text1"/>
          <w:sz w:val="24"/>
          <w:szCs w:val="24"/>
          <w:highlight w:val="none"/>
          <w14:textFill>
            <w14:solidFill>
              <w14:schemeClr w14:val="tx1"/>
            </w14:solidFill>
          </w14:textFill>
        </w:rPr>
        <w:t>评选由评选委员会负责，任何单位和个人不得非法干预或者影响评选的过程和结果。评选委员会成员名单在中选结果确定前保密。</w:t>
      </w:r>
    </w:p>
    <w:p w14:paraId="10DD0037">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283" w:name="_Toc447265252"/>
      <w:bookmarkStart w:id="284" w:name="_Toc296602453"/>
      <w:bookmarkStart w:id="285" w:name="_Toc25130"/>
      <w:bookmarkStart w:id="286" w:name="_Toc450489311"/>
      <w:bookmarkStart w:id="287" w:name="_Toc179632582"/>
      <w:bookmarkStart w:id="288" w:name="_Toc246996951"/>
      <w:bookmarkStart w:id="289" w:name="_Toc144974532"/>
      <w:bookmarkStart w:id="290" w:name="_Toc247085722"/>
      <w:bookmarkStart w:id="291" w:name="_Toc246996208"/>
      <w:bookmarkStart w:id="292" w:name="_Toc152045564"/>
      <w:bookmarkStart w:id="293" w:name="_Toc152042340"/>
      <w:bookmarkStart w:id="294" w:name="_Toc447265538"/>
      <w:r>
        <w:rPr>
          <w:rFonts w:ascii="宋体" w:hAnsi="宋体"/>
          <w:color w:val="000000" w:themeColor="text1"/>
          <w:sz w:val="24"/>
          <w:szCs w:val="24"/>
          <w:highlight w:val="none"/>
          <w14:textFill>
            <w14:solidFill>
              <w14:schemeClr w14:val="tx1"/>
            </w14:solidFill>
          </w14:textFill>
        </w:rPr>
        <w:t>6.2</w:t>
      </w:r>
      <w:r>
        <w:rPr>
          <w:rFonts w:hint="eastAsia" w:ascii="宋体" w:hAnsi="宋体"/>
          <w:color w:val="000000" w:themeColor="text1"/>
          <w:sz w:val="24"/>
          <w:szCs w:val="24"/>
          <w:highlight w:val="none"/>
          <w14:textFill>
            <w14:solidFill>
              <w14:schemeClr w14:val="tx1"/>
            </w14:solidFill>
          </w14:textFill>
        </w:rPr>
        <w:t>评选原则</w:t>
      </w:r>
      <w:bookmarkEnd w:id="283"/>
      <w:bookmarkEnd w:id="284"/>
      <w:bookmarkEnd w:id="285"/>
      <w:bookmarkEnd w:id="286"/>
      <w:bookmarkEnd w:id="287"/>
      <w:bookmarkEnd w:id="288"/>
      <w:bookmarkEnd w:id="289"/>
      <w:bookmarkEnd w:id="290"/>
      <w:bookmarkEnd w:id="291"/>
      <w:bookmarkEnd w:id="292"/>
      <w:bookmarkEnd w:id="293"/>
      <w:bookmarkEnd w:id="294"/>
    </w:p>
    <w:p w14:paraId="095DF668">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6.2.1评选活动遵循公平、公正、科学和择优的原则。</w:t>
      </w:r>
    </w:p>
    <w:p w14:paraId="74C2AA24">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6.2.2</w:t>
      </w:r>
      <w:r>
        <w:rPr>
          <w:rFonts w:hint="eastAsia" w:hAnsi="宋体"/>
          <w:color w:val="000000" w:themeColor="text1"/>
          <w:sz w:val="24"/>
          <w:szCs w:val="24"/>
          <w:highlight w:val="none"/>
          <w14:textFill>
            <w14:solidFill>
              <w14:schemeClr w14:val="tx1"/>
            </w14:solidFill>
          </w14:textFill>
        </w:rPr>
        <w:t>评选委员会按照第三章“评选办法”规定的方法、评审因素、标准和程序对参选文件进行评审。第三章“评选办法”没有规定的方法、评审因素和标准，不得作为评选依据。</w:t>
      </w:r>
    </w:p>
    <w:p w14:paraId="6B060BAB">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6.2.3唱价后，部分参选人撤销参选文件或者被否决参选后，有效参选不足3个的，评选委员会可以继续评审，继续评审的需在评选报告中说明继续评审的理由；也可以否决全部参选。</w:t>
      </w:r>
    </w:p>
    <w:p w14:paraId="61FA8698">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295" w:name="_Toc447188701"/>
      <w:bookmarkStart w:id="296" w:name="_Toc447265253"/>
      <w:bookmarkStart w:id="297" w:name="_Toc450489312"/>
      <w:bookmarkStart w:id="298" w:name="_Toc447265539"/>
      <w:bookmarkStart w:id="299" w:name="_Toc28832"/>
      <w:r>
        <w:rPr>
          <w:rFonts w:hint="eastAsia" w:ascii="宋体" w:hAnsi="宋体"/>
          <w:color w:val="000000" w:themeColor="text1"/>
          <w:sz w:val="24"/>
          <w:szCs w:val="24"/>
          <w:highlight w:val="none"/>
          <w14:textFill>
            <w14:solidFill>
              <w14:schemeClr w14:val="tx1"/>
            </w14:solidFill>
          </w14:textFill>
        </w:rPr>
        <w:t>6.3评选方法</w:t>
      </w:r>
      <w:bookmarkEnd w:id="295"/>
      <w:bookmarkEnd w:id="296"/>
      <w:bookmarkEnd w:id="297"/>
      <w:bookmarkEnd w:id="298"/>
      <w:bookmarkEnd w:id="299"/>
    </w:p>
    <w:p w14:paraId="630A6F93">
      <w:pPr>
        <w:adjustRightInd w:val="0"/>
        <w:snapToGrid w:val="0"/>
        <w:spacing w:line="440" w:lineRule="exact"/>
        <w:ind w:firstLine="484" w:firstLineChars="202"/>
        <w:rPr>
          <w:rFonts w:hint="eastAsia"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6.3.1本项目评选所采用的评选方法为</w:t>
      </w:r>
      <w:r>
        <w:rPr>
          <w:rFonts w:hint="eastAsia" w:hAnsi="宋体"/>
          <w:color w:val="000000" w:themeColor="text1"/>
          <w:sz w:val="24"/>
          <w:highlight w:val="none"/>
          <w14:textFill>
            <w14:solidFill>
              <w14:schemeClr w14:val="tx1"/>
            </w14:solidFill>
          </w14:textFill>
        </w:rPr>
        <w:t>综合评估法的。最大限度地满足比选文件中规定的各项综合评价标准的参选，应当推荐为中选候选人，量化的标准和权重应当在比选文件中明确规定。</w:t>
      </w:r>
    </w:p>
    <w:p w14:paraId="22674BFF">
      <w:pPr>
        <w:pStyle w:val="21"/>
        <w:tabs>
          <w:tab w:val="left" w:pos="588"/>
          <w:tab w:val="left" w:pos="630"/>
        </w:tabs>
        <w:snapToGrid w:val="0"/>
        <w:spacing w:before="120" w:after="120" w:line="440" w:lineRule="exact"/>
        <w:ind w:firstLine="484" w:firstLineChars="202"/>
        <w:jc w:val="left"/>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w:t>
      </w:r>
      <w:r>
        <w:rPr>
          <w:rFonts w:hAnsi="宋体"/>
          <w:color w:val="000000" w:themeColor="text1"/>
          <w:sz w:val="24"/>
          <w:szCs w:val="24"/>
          <w:highlight w:val="none"/>
          <w14:textFill>
            <w14:solidFill>
              <w14:schemeClr w14:val="tx1"/>
            </w14:solidFill>
          </w14:textFill>
        </w:rPr>
        <w:t>法律</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法规允许的其他评选方法</w:t>
      </w:r>
      <w:r>
        <w:rPr>
          <w:rFonts w:hint="eastAsia" w:hAnsi="宋体"/>
          <w:color w:val="000000" w:themeColor="text1"/>
          <w:sz w:val="24"/>
          <w:szCs w:val="24"/>
          <w:highlight w:val="none"/>
          <w14:textFill>
            <w14:solidFill>
              <w14:schemeClr w14:val="tx1"/>
            </w14:solidFill>
          </w14:textFill>
        </w:rPr>
        <w:t>。</w:t>
      </w:r>
      <w:bookmarkStart w:id="300" w:name="_Toc447188702"/>
      <w:bookmarkStart w:id="301" w:name="_Toc447265254"/>
      <w:bookmarkStart w:id="302" w:name="_Toc447265540"/>
      <w:bookmarkStart w:id="303" w:name="_Toc152042342"/>
      <w:bookmarkStart w:id="304" w:name="_Toc246996953"/>
      <w:bookmarkStart w:id="305" w:name="_Toc152045566"/>
      <w:bookmarkStart w:id="306" w:name="_Toc247085724"/>
      <w:bookmarkStart w:id="307" w:name="_Toc296602455"/>
      <w:bookmarkStart w:id="308" w:name="_Toc246996210"/>
      <w:bookmarkStart w:id="309" w:name="_Toc144974534"/>
      <w:bookmarkStart w:id="310" w:name="_Toc179632584"/>
    </w:p>
    <w:p w14:paraId="6FDB3732">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311" w:name="_Toc450489313"/>
      <w:bookmarkStart w:id="312" w:name="_Toc19916"/>
      <w:r>
        <w:rPr>
          <w:rFonts w:ascii="宋体" w:hAnsi="宋体"/>
          <w:color w:val="000000" w:themeColor="text1"/>
          <w:sz w:val="24"/>
          <w:szCs w:val="24"/>
          <w:highlight w:val="none"/>
          <w14:textFill>
            <w14:solidFill>
              <w14:schemeClr w14:val="tx1"/>
            </w14:solidFill>
          </w14:textFill>
        </w:rPr>
        <w:t>6.4中选候选人推荐原则</w:t>
      </w:r>
      <w:bookmarkEnd w:id="311"/>
      <w:bookmarkEnd w:id="312"/>
    </w:p>
    <w:p w14:paraId="47E176E5">
      <w:pPr>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评选委员会应当根据比选文件载明的规则推荐中选候选人，具体推荐原则见参选人须知前附表。</w:t>
      </w:r>
    </w:p>
    <w:p w14:paraId="2F9B013D">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313" w:name="_Toc450489314"/>
      <w:bookmarkStart w:id="314" w:name="_Toc28365"/>
      <w:r>
        <w:rPr>
          <w:rFonts w:hint="eastAsia" w:ascii="宋体" w:hAnsi="宋体"/>
          <w:color w:val="000000" w:themeColor="text1"/>
          <w:sz w:val="24"/>
          <w:szCs w:val="24"/>
          <w:highlight w:val="none"/>
          <w14:textFill>
            <w14:solidFill>
              <w14:schemeClr w14:val="tx1"/>
            </w14:solidFill>
          </w14:textFill>
        </w:rPr>
        <w:t>6.5评选报告</w:t>
      </w:r>
      <w:bookmarkEnd w:id="300"/>
      <w:bookmarkEnd w:id="301"/>
      <w:bookmarkEnd w:id="302"/>
      <w:bookmarkEnd w:id="313"/>
      <w:bookmarkEnd w:id="314"/>
    </w:p>
    <w:p w14:paraId="688B5707">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评选完成后，评选委员会应当及时向比选人提交评选报告和中选候选人名单。</w:t>
      </w:r>
    </w:p>
    <w:bookmarkEnd w:id="276"/>
    <w:bookmarkEnd w:id="277"/>
    <w:bookmarkEnd w:id="278"/>
    <w:bookmarkEnd w:id="303"/>
    <w:bookmarkEnd w:id="304"/>
    <w:bookmarkEnd w:id="305"/>
    <w:bookmarkEnd w:id="306"/>
    <w:bookmarkEnd w:id="307"/>
    <w:bookmarkEnd w:id="308"/>
    <w:bookmarkEnd w:id="309"/>
    <w:bookmarkEnd w:id="310"/>
    <w:p w14:paraId="44968787">
      <w:pPr>
        <w:pStyle w:val="35"/>
        <w:numPr>
          <w:ilvl w:val="0"/>
          <w:numId w:val="3"/>
        </w:numPr>
        <w:tabs>
          <w:tab w:val="left" w:pos="602"/>
        </w:tabs>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315" w:name="_Toc11184"/>
      <w:r>
        <w:rPr>
          <w:rFonts w:hint="eastAsia" w:ascii="宋体" w:hAnsi="宋体"/>
          <w:color w:val="000000" w:themeColor="text1"/>
          <w:sz w:val="24"/>
          <w:szCs w:val="24"/>
          <w:highlight w:val="none"/>
          <w14:textFill>
            <w14:solidFill>
              <w14:schemeClr w14:val="tx1"/>
            </w14:solidFill>
          </w14:textFill>
        </w:rPr>
        <w:t>中选</w:t>
      </w:r>
      <w:bookmarkEnd w:id="315"/>
    </w:p>
    <w:bookmarkEnd w:id="279"/>
    <w:bookmarkEnd w:id="280"/>
    <w:bookmarkEnd w:id="281"/>
    <w:bookmarkEnd w:id="282"/>
    <w:p w14:paraId="5DDA13AB">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316" w:name="_Toc447188705"/>
      <w:bookmarkStart w:id="317" w:name="_Toc450489317"/>
      <w:bookmarkStart w:id="318" w:name="_Toc30982"/>
      <w:bookmarkStart w:id="319" w:name="_Toc447265543"/>
      <w:bookmarkStart w:id="320" w:name="_Toc447265257"/>
      <w:bookmarkStart w:id="321" w:name="_Toc447265545"/>
      <w:bookmarkStart w:id="322" w:name="_Toc447265259"/>
      <w:bookmarkStart w:id="323" w:name="_Toc247085727"/>
      <w:bookmarkStart w:id="324" w:name="_Toc152042345"/>
      <w:bookmarkStart w:id="325" w:name="_Toc296602459"/>
      <w:bookmarkStart w:id="326" w:name="_Toc246996956"/>
      <w:bookmarkStart w:id="327" w:name="_Toc144974537"/>
      <w:bookmarkStart w:id="328" w:name="_Toc152045569"/>
      <w:bookmarkStart w:id="329" w:name="_Toc179632587"/>
      <w:bookmarkStart w:id="330" w:name="_Toc246996213"/>
      <w:bookmarkStart w:id="331" w:name="_Toc107822517"/>
      <w:bookmarkStart w:id="332" w:name="_Toc226969310"/>
      <w:bookmarkStart w:id="333" w:name="_Toc227057916"/>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1确定中选人</w:t>
      </w:r>
      <w:bookmarkEnd w:id="316"/>
      <w:bookmarkEnd w:id="317"/>
      <w:bookmarkEnd w:id="318"/>
      <w:bookmarkEnd w:id="319"/>
      <w:bookmarkEnd w:id="320"/>
    </w:p>
    <w:p w14:paraId="123167DB">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7.</w:t>
      </w:r>
      <w:r>
        <w:rPr>
          <w:rFonts w:hint="eastAsia" w:hAnsi="宋体"/>
          <w:color w:val="000000" w:themeColor="text1"/>
          <w:sz w:val="24"/>
          <w:szCs w:val="24"/>
          <w:highlight w:val="none"/>
          <w14:textFill>
            <w14:solidFill>
              <w14:schemeClr w14:val="tx1"/>
            </w14:solidFill>
          </w14:textFill>
        </w:rPr>
        <w:t>1</w:t>
      </w: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比选人依据评选委员会推荐的中选候选人确定中选人，中选人数量见参选人须知前附表。</w:t>
      </w:r>
    </w:p>
    <w:p w14:paraId="0C6A0325">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7.</w:t>
      </w:r>
      <w:r>
        <w:rPr>
          <w:rFonts w:hint="eastAsia" w:hAnsi="宋体"/>
          <w:color w:val="000000" w:themeColor="text1"/>
          <w:sz w:val="24"/>
          <w:szCs w:val="24"/>
          <w:highlight w:val="none"/>
          <w14:textFill>
            <w14:solidFill>
              <w14:schemeClr w14:val="tx1"/>
            </w14:solidFill>
          </w14:textFill>
        </w:rPr>
        <w:t>1</w:t>
      </w:r>
      <w:r>
        <w:rPr>
          <w:rFonts w:hAnsi="宋体"/>
          <w:color w:val="000000" w:themeColor="text1"/>
          <w:sz w:val="24"/>
          <w:szCs w:val="24"/>
          <w:highlight w:val="none"/>
          <w14:textFill>
            <w14:solidFill>
              <w14:schemeClr w14:val="tx1"/>
            </w14:solidFill>
          </w14:textFill>
        </w:rPr>
        <w:t>.2</w:t>
      </w:r>
      <w:r>
        <w:rPr>
          <w:rFonts w:hint="eastAsia" w:hAnsi="宋体"/>
          <w:color w:val="000000" w:themeColor="text1"/>
          <w:sz w:val="24"/>
          <w:szCs w:val="24"/>
          <w:highlight w:val="none"/>
          <w14:textFill>
            <w14:solidFill>
              <w14:schemeClr w14:val="tx1"/>
            </w14:solidFill>
          </w14:textFill>
        </w:rPr>
        <w:t>比选人根据评选委员会推荐的中选候选人名单排序依次确定中选人，具体中选原则见参选人须知前附表。</w:t>
      </w:r>
    </w:p>
    <w:p w14:paraId="5A0759F6">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7.</w:t>
      </w:r>
      <w:r>
        <w:rPr>
          <w:rFonts w:hint="eastAsia" w:hAnsi="宋体"/>
          <w:color w:val="000000" w:themeColor="text1"/>
          <w:sz w:val="24"/>
          <w:szCs w:val="24"/>
          <w:highlight w:val="none"/>
          <w14:textFill>
            <w14:solidFill>
              <w14:schemeClr w14:val="tx1"/>
            </w14:solidFill>
          </w14:textFill>
        </w:rPr>
        <w:t>1</w:t>
      </w:r>
      <w:r>
        <w:rPr>
          <w:rFonts w:hAnsi="宋体"/>
          <w:color w:val="000000" w:themeColor="text1"/>
          <w:sz w:val="24"/>
          <w:szCs w:val="24"/>
          <w:highlight w:val="none"/>
          <w14:textFill>
            <w14:solidFill>
              <w14:schemeClr w14:val="tx1"/>
            </w14:solidFill>
          </w14:textFill>
        </w:rPr>
        <w:t>.3在签订合同之前</w:t>
      </w:r>
      <w:r>
        <w:rPr>
          <w:rFonts w:hint="eastAsia" w:hAnsi="宋体"/>
          <w:color w:val="000000" w:themeColor="text1"/>
          <w:sz w:val="24"/>
          <w:szCs w:val="24"/>
          <w:highlight w:val="none"/>
          <w14:textFill>
            <w14:solidFill>
              <w14:schemeClr w14:val="tx1"/>
            </w14:solidFill>
          </w14:textFill>
        </w:rPr>
        <w:t xml:space="preserve">，中选人放弃中选或者不能履行合同的，比选人可以按照评选委员会提出的中选候选人名单排序依次确定其他中选候选人为中选人，也可以重新比选。集中比选项目还可以对中选人的中选份额进行调整，具体调整规则见参选人须知前附表； </w:t>
      </w:r>
    </w:p>
    <w:p w14:paraId="6713230F">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334" w:name="_Toc6644"/>
      <w:bookmarkStart w:id="335" w:name="_Toc144974536"/>
      <w:bookmarkStart w:id="336" w:name="_Toc152045568"/>
      <w:bookmarkStart w:id="337" w:name="_Toc296602458"/>
      <w:bookmarkStart w:id="338" w:name="_Toc447265258"/>
      <w:bookmarkStart w:id="339" w:name="_Toc450489318"/>
      <w:bookmarkStart w:id="340" w:name="_Toc152042344"/>
      <w:bookmarkStart w:id="341" w:name="_Toc246996955"/>
      <w:bookmarkStart w:id="342" w:name="_Toc247085726"/>
      <w:bookmarkStart w:id="343" w:name="_Toc246996212"/>
      <w:bookmarkStart w:id="344" w:name="_Toc179632586"/>
      <w:bookmarkStart w:id="345" w:name="_Toc447265544"/>
      <w:bookmarkStart w:id="346" w:name="OLE_LINK6"/>
      <w:bookmarkStart w:id="347" w:name="OLE_LINK7"/>
      <w:r>
        <w:rPr>
          <w:rFonts w:hint="eastAsia" w:ascii="宋体" w:hAnsi="宋体"/>
          <w:color w:val="000000" w:themeColor="text1"/>
          <w:sz w:val="24"/>
          <w:szCs w:val="24"/>
          <w:highlight w:val="none"/>
          <w14:textFill>
            <w14:solidFill>
              <w14:schemeClr w14:val="tx1"/>
            </w14:solidFill>
          </w14:textFill>
        </w:rPr>
        <w:t>7.2中选人公示</w:t>
      </w:r>
      <w:bookmarkEnd w:id="334"/>
    </w:p>
    <w:p w14:paraId="6434D77B">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7.</w:t>
      </w:r>
      <w:r>
        <w:rPr>
          <w:rFonts w:hint="eastAsia" w:hAnsi="宋体"/>
          <w:color w:val="000000" w:themeColor="text1"/>
          <w:sz w:val="24"/>
          <w:szCs w:val="24"/>
          <w:highlight w:val="none"/>
          <w14:textFill>
            <w14:solidFill>
              <w14:schemeClr w14:val="tx1"/>
            </w14:solidFill>
          </w14:textFill>
        </w:rPr>
        <w:t>2</w:t>
      </w: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采用公开比选方式的，比选人应</w:t>
      </w:r>
      <w:r>
        <w:rPr>
          <w:rFonts w:hAnsi="宋体"/>
          <w:color w:val="000000" w:themeColor="text1"/>
          <w:sz w:val="24"/>
          <w:szCs w:val="24"/>
          <w:highlight w:val="none"/>
          <w14:textFill>
            <w14:solidFill>
              <w14:schemeClr w14:val="tx1"/>
            </w14:solidFill>
          </w14:textFill>
        </w:rPr>
        <w:t>在“资格预审公告”或者“</w:t>
      </w:r>
      <w:r>
        <w:rPr>
          <w:rFonts w:hint="eastAsia" w:hAnsi="宋体"/>
          <w:color w:val="000000" w:themeColor="text1"/>
          <w:sz w:val="24"/>
          <w:szCs w:val="24"/>
          <w:highlight w:val="none"/>
          <w14:textFill>
            <w14:solidFill>
              <w14:schemeClr w14:val="tx1"/>
            </w14:solidFill>
          </w14:textFill>
        </w:rPr>
        <w:t>比选</w:t>
      </w:r>
      <w:r>
        <w:rPr>
          <w:rFonts w:hAnsi="宋体"/>
          <w:color w:val="000000" w:themeColor="text1"/>
          <w:sz w:val="24"/>
          <w:szCs w:val="24"/>
          <w:highlight w:val="none"/>
          <w14:textFill>
            <w14:solidFill>
              <w14:schemeClr w14:val="tx1"/>
            </w14:solidFill>
          </w14:textFill>
        </w:rPr>
        <w:t>公告”发布媒介公示全部</w:t>
      </w:r>
      <w:r>
        <w:rPr>
          <w:rFonts w:hint="eastAsia" w:hAnsi="宋体"/>
          <w:color w:val="000000" w:themeColor="text1"/>
          <w:sz w:val="24"/>
          <w:szCs w:val="24"/>
          <w:highlight w:val="none"/>
          <w14:textFill>
            <w14:solidFill>
              <w14:schemeClr w14:val="tx1"/>
            </w14:solidFill>
          </w14:textFill>
        </w:rPr>
        <w:t>中选人，公示期不少于</w:t>
      </w:r>
      <w:r>
        <w:rPr>
          <w:rFonts w:hAnsi="宋体"/>
          <w:color w:val="000000" w:themeColor="text1"/>
          <w:sz w:val="24"/>
          <w:szCs w:val="24"/>
          <w:highlight w:val="none"/>
          <w14:textFill>
            <w14:solidFill>
              <w14:schemeClr w14:val="tx1"/>
            </w14:solidFill>
          </w14:textFill>
        </w:rPr>
        <w:t>3日。</w:t>
      </w:r>
    </w:p>
    <w:p w14:paraId="5A3B6C23">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7.</w:t>
      </w:r>
      <w:r>
        <w:rPr>
          <w:rFonts w:hint="eastAsia" w:hAnsi="宋体"/>
          <w:color w:val="000000" w:themeColor="text1"/>
          <w:sz w:val="24"/>
          <w:szCs w:val="24"/>
          <w:highlight w:val="none"/>
          <w14:textFill>
            <w14:solidFill>
              <w14:schemeClr w14:val="tx1"/>
            </w14:solidFill>
          </w14:textFill>
        </w:rPr>
        <w:t>2</w:t>
      </w:r>
      <w:r>
        <w:rPr>
          <w:rFonts w:hAnsi="宋体"/>
          <w:color w:val="000000" w:themeColor="text1"/>
          <w:sz w:val="24"/>
          <w:szCs w:val="24"/>
          <w:highlight w:val="none"/>
          <w14:textFill>
            <w14:solidFill>
              <w14:schemeClr w14:val="tx1"/>
            </w14:solidFill>
          </w14:textFill>
        </w:rPr>
        <w:t>.2</w:t>
      </w:r>
      <w:r>
        <w:rPr>
          <w:rFonts w:hint="eastAsia" w:hAnsi="宋体"/>
          <w:color w:val="000000" w:themeColor="text1"/>
          <w:sz w:val="24"/>
          <w:szCs w:val="24"/>
          <w:highlight w:val="none"/>
          <w14:textFill>
            <w14:solidFill>
              <w14:schemeClr w14:val="tx1"/>
            </w14:solidFill>
          </w14:textFill>
        </w:rPr>
        <w:t>参选人或者其他利害关系人对比选项目的评选结果有异议的，应当在中选人公示期间提出。</w:t>
      </w:r>
    </w:p>
    <w:p w14:paraId="34B06E7B">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348" w:name="_Toc7566"/>
      <w:r>
        <w:rPr>
          <w:rFonts w:hint="eastAsia" w:ascii="宋体" w:hAnsi="宋体"/>
          <w:color w:val="000000" w:themeColor="text1"/>
          <w:sz w:val="24"/>
          <w:szCs w:val="24"/>
          <w:highlight w:val="none"/>
          <w14:textFill>
            <w14:solidFill>
              <w14:schemeClr w14:val="tx1"/>
            </w14:solidFill>
          </w14:textFill>
        </w:rPr>
        <w:t>7.3中选通知</w:t>
      </w:r>
      <w:bookmarkEnd w:id="335"/>
      <w:bookmarkEnd w:id="336"/>
      <w:bookmarkEnd w:id="337"/>
      <w:bookmarkEnd w:id="338"/>
      <w:bookmarkEnd w:id="339"/>
      <w:bookmarkEnd w:id="340"/>
      <w:bookmarkEnd w:id="341"/>
      <w:bookmarkEnd w:id="342"/>
      <w:bookmarkEnd w:id="343"/>
      <w:bookmarkEnd w:id="344"/>
      <w:bookmarkEnd w:id="345"/>
      <w:bookmarkEnd w:id="348"/>
    </w:p>
    <w:p w14:paraId="6F8B3082">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7.3.1在中选通知书发出前，中选候选人的经营、财务状况发生较大变化或者存在违法行为，可能影响其履约能力的，参选人应当主动告知比选人。</w:t>
      </w:r>
      <w:bookmarkEnd w:id="346"/>
      <w:bookmarkEnd w:id="347"/>
    </w:p>
    <w:p w14:paraId="49D0E489">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7.3.2中选人确定后，比选人应当自行或者委托比选代理机构向中选人发出中选通知书，同时通知未中选人。</w:t>
      </w:r>
    </w:p>
    <w:p w14:paraId="6DDC389A">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7.3.3</w:t>
      </w:r>
      <w:r>
        <w:rPr>
          <w:rFonts w:hint="eastAsia" w:hAnsi="宋体"/>
          <w:color w:val="000000" w:themeColor="text1"/>
          <w:sz w:val="24"/>
          <w:szCs w:val="24"/>
          <w:highlight w:val="none"/>
          <w14:textFill>
            <w14:solidFill>
              <w14:schemeClr w14:val="tx1"/>
            </w14:solidFill>
          </w14:textFill>
        </w:rPr>
        <w:t>中选通知书是比选档案和合同的组成部分。</w:t>
      </w:r>
    </w:p>
    <w:p w14:paraId="34746E2C">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7.3.4</w:t>
      </w:r>
      <w:r>
        <w:rPr>
          <w:rFonts w:hint="eastAsia" w:hAnsi="宋体"/>
          <w:color w:val="000000" w:themeColor="text1"/>
          <w:sz w:val="24"/>
          <w:szCs w:val="24"/>
          <w:highlight w:val="none"/>
          <w14:textFill>
            <w14:solidFill>
              <w14:schemeClr w14:val="tx1"/>
            </w14:solidFill>
          </w14:textFill>
        </w:rPr>
        <w:t>中选通知书对比选人和中选人具有法律约束力。中选通知书发出后，比选人改变中选结果或者中选人放弃中选的，应当承担法律责任。</w:t>
      </w:r>
    </w:p>
    <w:p w14:paraId="71B35C22">
      <w:pPr>
        <w:pStyle w:val="35"/>
        <w:numPr>
          <w:ilvl w:val="0"/>
          <w:numId w:val="3"/>
        </w:numPr>
        <w:tabs>
          <w:tab w:val="left" w:pos="588"/>
        </w:tabs>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349" w:name="_Toc7171"/>
      <w:r>
        <w:rPr>
          <w:rFonts w:hint="eastAsia" w:ascii="宋体" w:hAnsi="宋体"/>
          <w:color w:val="000000" w:themeColor="text1"/>
          <w:sz w:val="24"/>
          <w:szCs w:val="24"/>
          <w:highlight w:val="none"/>
          <w14:textFill>
            <w14:solidFill>
              <w14:schemeClr w14:val="tx1"/>
            </w14:solidFill>
          </w14:textFill>
        </w:rPr>
        <w:t>合同签订</w:t>
      </w:r>
      <w:bookmarkEnd w:id="321"/>
      <w:bookmarkEnd w:id="322"/>
      <w:bookmarkEnd w:id="349"/>
    </w:p>
    <w:p w14:paraId="08E26F81">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350" w:name="_Toc447265546"/>
      <w:bookmarkStart w:id="351" w:name="_Toc447265260"/>
      <w:bookmarkStart w:id="352" w:name="_Toc3977"/>
      <w:r>
        <w:rPr>
          <w:rFonts w:hint="eastAsia" w:ascii="宋体" w:hAnsi="宋体"/>
          <w:color w:val="000000" w:themeColor="text1"/>
          <w:sz w:val="24"/>
          <w:szCs w:val="24"/>
          <w:highlight w:val="none"/>
          <w14:textFill>
            <w14:solidFill>
              <w14:schemeClr w14:val="tx1"/>
            </w14:solidFill>
          </w14:textFill>
        </w:rPr>
        <w:t>8.1履约</w:t>
      </w:r>
      <w:bookmarkEnd w:id="323"/>
      <w:bookmarkEnd w:id="324"/>
      <w:bookmarkEnd w:id="325"/>
      <w:bookmarkEnd w:id="326"/>
      <w:bookmarkEnd w:id="327"/>
      <w:bookmarkEnd w:id="328"/>
      <w:bookmarkEnd w:id="329"/>
      <w:bookmarkEnd w:id="330"/>
      <w:r>
        <w:rPr>
          <w:rFonts w:hint="eastAsia" w:ascii="宋体" w:hAnsi="宋体"/>
          <w:color w:val="000000" w:themeColor="text1"/>
          <w:sz w:val="24"/>
          <w:szCs w:val="24"/>
          <w:highlight w:val="none"/>
          <w14:textFill>
            <w14:solidFill>
              <w14:schemeClr w14:val="tx1"/>
            </w14:solidFill>
          </w14:textFill>
        </w:rPr>
        <w:t>保证金</w:t>
      </w:r>
      <w:bookmarkEnd w:id="350"/>
      <w:bookmarkEnd w:id="351"/>
      <w:bookmarkEnd w:id="352"/>
    </w:p>
    <w:bookmarkEnd w:id="331"/>
    <w:bookmarkEnd w:id="332"/>
    <w:bookmarkEnd w:id="333"/>
    <w:p w14:paraId="71DC51BF">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bookmarkStart w:id="353" w:name="_Toc447265263"/>
      <w:bookmarkStart w:id="354" w:name="_Toc447265549"/>
      <w:bookmarkStart w:id="355" w:name="_Toc107822519"/>
      <w:bookmarkStart w:id="356" w:name="_Toc227057918"/>
      <w:bookmarkStart w:id="357" w:name="_Toc488655867"/>
      <w:bookmarkStart w:id="358" w:name="_Toc226969312"/>
      <w:bookmarkStart w:id="359" w:name="_Toc447188707"/>
      <w:r>
        <w:rPr>
          <w:rFonts w:hint="eastAsia" w:hAnsi="宋体"/>
          <w:color w:val="000000" w:themeColor="text1"/>
          <w:sz w:val="24"/>
          <w:szCs w:val="24"/>
          <w:highlight w:val="none"/>
          <w14:textFill>
            <w14:solidFill>
              <w14:schemeClr w14:val="tx1"/>
            </w14:solidFill>
          </w14:textFill>
        </w:rPr>
        <w:t>8.1.1在签订合同前，中选人应当按照“参选人须知前附表”中规定的履约保证金的金额和形式向比选人递交履约保证金。</w:t>
      </w:r>
    </w:p>
    <w:p w14:paraId="2C38FAD5">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8.1.2</w:t>
      </w:r>
      <w:r>
        <w:rPr>
          <w:rFonts w:hint="eastAsia" w:hAnsi="宋体"/>
          <w:color w:val="000000" w:themeColor="text1"/>
          <w:sz w:val="24"/>
          <w:szCs w:val="24"/>
          <w:highlight w:val="none"/>
          <w14:textFill>
            <w14:solidFill>
              <w14:schemeClr w14:val="tx1"/>
            </w14:solidFill>
          </w14:textFill>
        </w:rPr>
        <w:t>中选人不能按照比选文件要求递交履约担保的，视为放弃中选，其参选保证金不予退还，给比选人造成的损失超过参选保证金数额的，中选人还应当对超过部分予以赔偿。</w:t>
      </w:r>
    </w:p>
    <w:p w14:paraId="20FB8D54">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360" w:name="_Toc2097"/>
      <w:bookmarkStart w:id="361" w:name="_Toc447265261"/>
      <w:bookmarkStart w:id="362" w:name="_Toc450489321"/>
      <w:bookmarkStart w:id="363" w:name="_Toc447265547"/>
      <w:r>
        <w:rPr>
          <w:rFonts w:hint="eastAsia" w:ascii="宋体" w:hAnsi="宋体"/>
          <w:color w:val="000000" w:themeColor="text1"/>
          <w:sz w:val="24"/>
          <w:szCs w:val="24"/>
          <w:highlight w:val="none"/>
          <w14:textFill>
            <w14:solidFill>
              <w14:schemeClr w14:val="tx1"/>
            </w14:solidFill>
          </w14:textFill>
        </w:rPr>
        <w:t>8.2合同签订</w:t>
      </w:r>
      <w:bookmarkEnd w:id="360"/>
      <w:bookmarkEnd w:id="361"/>
      <w:bookmarkEnd w:id="362"/>
      <w:bookmarkEnd w:id="363"/>
    </w:p>
    <w:p w14:paraId="6D69A216">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8.2.1</w:t>
      </w:r>
      <w:r>
        <w:rPr>
          <w:rFonts w:hint="eastAsia" w:hAnsi="宋体"/>
          <w:color w:val="000000" w:themeColor="text1"/>
          <w:sz w:val="24"/>
          <w:szCs w:val="24"/>
          <w:highlight w:val="none"/>
          <w14:textFill>
            <w14:solidFill>
              <w14:schemeClr w14:val="tx1"/>
            </w14:solidFill>
          </w14:textFill>
        </w:rPr>
        <w:t>比选人和中选人应当在比选有效期内，根据比选文件和中选人的参选文件订立书面合同。比选人和中选人不得订立背离合同实质性内容的其他协议。</w:t>
      </w:r>
    </w:p>
    <w:p w14:paraId="087C0647">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8.2.2中选人无正当理由拒签合同的，比选人取消其中选资格，其参选保证金不予退还；给比选人造成的损失超过参选保证金数额的，中选人还应当对超过部分予以赔偿。</w:t>
      </w:r>
    </w:p>
    <w:p w14:paraId="19099502">
      <w:pPr>
        <w:pStyle w:val="35"/>
        <w:numPr>
          <w:ilvl w:val="0"/>
          <w:numId w:val="3"/>
        </w:numPr>
        <w:tabs>
          <w:tab w:val="left" w:pos="602"/>
        </w:tabs>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364" w:name="_Toc1210"/>
      <w:r>
        <w:rPr>
          <w:rFonts w:hint="eastAsia" w:ascii="宋体" w:hAnsi="宋体"/>
          <w:color w:val="000000" w:themeColor="text1"/>
          <w:sz w:val="24"/>
          <w:szCs w:val="24"/>
          <w:highlight w:val="none"/>
          <w14:textFill>
            <w14:solidFill>
              <w14:schemeClr w14:val="tx1"/>
            </w14:solidFill>
          </w14:textFill>
        </w:rPr>
        <w:t>比选代理服务费</w:t>
      </w:r>
      <w:bookmarkEnd w:id="353"/>
      <w:bookmarkEnd w:id="354"/>
      <w:bookmarkEnd w:id="355"/>
      <w:bookmarkEnd w:id="356"/>
      <w:bookmarkEnd w:id="357"/>
      <w:bookmarkEnd w:id="358"/>
      <w:bookmarkEnd w:id="359"/>
      <w:bookmarkEnd w:id="364"/>
    </w:p>
    <w:p w14:paraId="1FA61E95">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中选人应当按照比选文件规定交纳比选代理服务费，比选人和比选代理机构另有约定的从其约定。比选代理服务费的金额、交纳方式和时限见参选人须知前附表。</w:t>
      </w:r>
    </w:p>
    <w:p w14:paraId="42EFFE17">
      <w:pPr>
        <w:pStyle w:val="35"/>
        <w:numPr>
          <w:ilvl w:val="0"/>
          <w:numId w:val="3"/>
        </w:numPr>
        <w:tabs>
          <w:tab w:val="left" w:pos="602"/>
        </w:tabs>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365" w:name="_Toc447265550"/>
      <w:bookmarkStart w:id="366" w:name="_Toc447188708"/>
      <w:bookmarkStart w:id="367" w:name="_Toc296602461"/>
      <w:bookmarkStart w:id="368" w:name="_Toc447265264"/>
      <w:bookmarkStart w:id="369" w:name="_Toc31500"/>
      <w:r>
        <w:rPr>
          <w:rFonts w:hint="eastAsia" w:ascii="宋体" w:hAnsi="宋体"/>
          <w:color w:val="000000" w:themeColor="text1"/>
          <w:sz w:val="24"/>
          <w:szCs w:val="24"/>
          <w:highlight w:val="none"/>
          <w14:textFill>
            <w14:solidFill>
              <w14:schemeClr w14:val="tx1"/>
            </w14:solidFill>
          </w14:textFill>
        </w:rPr>
        <w:t>纪律和监督</w:t>
      </w:r>
      <w:bookmarkEnd w:id="365"/>
      <w:bookmarkEnd w:id="366"/>
      <w:bookmarkEnd w:id="367"/>
      <w:bookmarkEnd w:id="368"/>
      <w:bookmarkEnd w:id="369"/>
    </w:p>
    <w:p w14:paraId="0BF38888">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370" w:name="_Toc152042351"/>
      <w:bookmarkStart w:id="371" w:name="_Toc247085733"/>
      <w:bookmarkStart w:id="372" w:name="_Toc296590983"/>
      <w:bookmarkStart w:id="373" w:name="_Toc447265551"/>
      <w:bookmarkStart w:id="374" w:name="_Toc179632593"/>
      <w:bookmarkStart w:id="375" w:name="_Toc152045575"/>
      <w:bookmarkStart w:id="376" w:name="_Toc246996962"/>
      <w:bookmarkStart w:id="377" w:name="_Toc13824"/>
      <w:bookmarkStart w:id="378" w:name="_Toc296602462"/>
      <w:bookmarkStart w:id="379" w:name="_Toc246996219"/>
      <w:bookmarkStart w:id="380" w:name="_Toc144974543"/>
      <w:bookmarkStart w:id="381" w:name="_Toc447265265"/>
      <w:r>
        <w:rPr>
          <w:rFonts w:hint="eastAsia" w:ascii="宋体" w:hAnsi="宋体"/>
          <w:color w:val="000000" w:themeColor="text1"/>
          <w:sz w:val="24"/>
          <w:szCs w:val="24"/>
          <w:highlight w:val="none"/>
          <w14:textFill>
            <w14:solidFill>
              <w14:schemeClr w14:val="tx1"/>
            </w14:solidFill>
          </w14:textFill>
        </w:rPr>
        <w:t>10.1对比选人的纪律要求</w:t>
      </w:r>
      <w:bookmarkEnd w:id="370"/>
      <w:bookmarkEnd w:id="371"/>
      <w:bookmarkEnd w:id="372"/>
      <w:bookmarkEnd w:id="373"/>
      <w:bookmarkEnd w:id="374"/>
      <w:bookmarkEnd w:id="375"/>
      <w:bookmarkEnd w:id="376"/>
      <w:bookmarkEnd w:id="377"/>
      <w:bookmarkEnd w:id="378"/>
      <w:bookmarkEnd w:id="379"/>
      <w:bookmarkEnd w:id="380"/>
      <w:bookmarkEnd w:id="381"/>
    </w:p>
    <w:p w14:paraId="18C98A86">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比选人不得泄漏比选活动中应当保密的情况和资料，不得与参选人串通损害国家利益、社会公共利益或者他人合法权益。</w:t>
      </w:r>
    </w:p>
    <w:p w14:paraId="06D3E43D">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382" w:name="_Toc447265552"/>
      <w:bookmarkStart w:id="383" w:name="_Toc144974544"/>
      <w:bookmarkStart w:id="384" w:name="_Toc296602463"/>
      <w:bookmarkStart w:id="385" w:name="_Toc447265266"/>
      <w:bookmarkStart w:id="386" w:name="_Toc179632594"/>
      <w:bookmarkStart w:id="387" w:name="_Toc246996220"/>
      <w:bookmarkStart w:id="388" w:name="_Toc246996963"/>
      <w:bookmarkStart w:id="389" w:name="_Toc18007"/>
      <w:bookmarkStart w:id="390" w:name="_Toc152045576"/>
      <w:bookmarkStart w:id="391" w:name="_Toc247085734"/>
      <w:bookmarkStart w:id="392" w:name="_Toc152042352"/>
      <w:r>
        <w:rPr>
          <w:rFonts w:hint="eastAsia" w:ascii="宋体" w:hAnsi="宋体"/>
          <w:color w:val="000000" w:themeColor="text1"/>
          <w:sz w:val="24"/>
          <w:szCs w:val="24"/>
          <w:highlight w:val="none"/>
          <w14:textFill>
            <w14:solidFill>
              <w14:schemeClr w14:val="tx1"/>
            </w14:solidFill>
          </w14:textFill>
        </w:rPr>
        <w:t>10.2对参选人的纪律要求</w:t>
      </w:r>
      <w:bookmarkEnd w:id="382"/>
      <w:bookmarkEnd w:id="383"/>
      <w:bookmarkEnd w:id="384"/>
      <w:bookmarkEnd w:id="385"/>
      <w:bookmarkEnd w:id="386"/>
      <w:bookmarkEnd w:id="387"/>
      <w:bookmarkEnd w:id="388"/>
      <w:bookmarkEnd w:id="389"/>
      <w:bookmarkEnd w:id="390"/>
      <w:bookmarkEnd w:id="391"/>
      <w:bookmarkEnd w:id="392"/>
    </w:p>
    <w:p w14:paraId="09E7BC6C">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参选人不得相互串通参选或者与比选人串通参选，不得向比选人或者评选委员会成员行贿谋取中选，不得以他人名义参选或者以其他方式弄虚作假骗取中选，参选人不得以任何方式干扰、影响评选工作。</w:t>
      </w:r>
    </w:p>
    <w:p w14:paraId="1A3440EC">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393" w:name="_Toc246996221"/>
      <w:bookmarkStart w:id="394" w:name="_Toc152042353"/>
      <w:bookmarkStart w:id="395" w:name="_Toc152045577"/>
      <w:bookmarkStart w:id="396" w:name="_Toc247085735"/>
      <w:bookmarkStart w:id="397" w:name="_Toc296602464"/>
      <w:bookmarkStart w:id="398" w:name="_Toc144974545"/>
      <w:bookmarkStart w:id="399" w:name="_Toc246996964"/>
      <w:bookmarkStart w:id="400" w:name="_Toc447265267"/>
      <w:bookmarkStart w:id="401" w:name="_Toc179632595"/>
      <w:bookmarkStart w:id="402" w:name="_Toc16620"/>
      <w:bookmarkStart w:id="403" w:name="_Toc447265553"/>
      <w:r>
        <w:rPr>
          <w:rFonts w:hint="eastAsia" w:ascii="宋体" w:hAnsi="宋体"/>
          <w:color w:val="000000" w:themeColor="text1"/>
          <w:sz w:val="24"/>
          <w:szCs w:val="24"/>
          <w:highlight w:val="none"/>
          <w14:textFill>
            <w14:solidFill>
              <w14:schemeClr w14:val="tx1"/>
            </w14:solidFill>
          </w14:textFill>
        </w:rPr>
        <w:t>10.3对评选委员会成员的纪律要求</w:t>
      </w:r>
      <w:bookmarkEnd w:id="393"/>
      <w:bookmarkEnd w:id="394"/>
      <w:bookmarkEnd w:id="395"/>
      <w:bookmarkEnd w:id="396"/>
      <w:bookmarkEnd w:id="397"/>
      <w:bookmarkEnd w:id="398"/>
      <w:bookmarkEnd w:id="399"/>
      <w:bookmarkEnd w:id="400"/>
      <w:bookmarkEnd w:id="401"/>
      <w:bookmarkEnd w:id="402"/>
      <w:bookmarkEnd w:id="403"/>
    </w:p>
    <w:p w14:paraId="61AB4E5C">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选委员会成员不得收受他人的财物或者其他好处，不得向他人透漏对参选文件的评审和比较、中选候选人的推荐情况以及评选有关的其他情况。在评选活动中，评选委员会成员应当客观、公正地履行职责，遵守职业道德，不得擅离职守，影响评选程序正常进行，不得使用第三章“评选办法”没有规定的评审因素和标准进行评选。</w:t>
      </w:r>
    </w:p>
    <w:p w14:paraId="03EA1B35">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404" w:name="_Toc447265554"/>
      <w:bookmarkStart w:id="405" w:name="_Toc246996965"/>
      <w:bookmarkStart w:id="406" w:name="_Toc246996222"/>
      <w:bookmarkStart w:id="407" w:name="_Toc247085736"/>
      <w:bookmarkStart w:id="408" w:name="_Toc296602465"/>
      <w:bookmarkStart w:id="409" w:name="_Toc16592"/>
      <w:bookmarkStart w:id="410" w:name="_Toc179632596"/>
      <w:bookmarkStart w:id="411" w:name="_Toc447265268"/>
      <w:bookmarkStart w:id="412" w:name="_Toc152045578"/>
      <w:bookmarkStart w:id="413" w:name="_Toc152042354"/>
      <w:bookmarkStart w:id="414" w:name="_Toc144974546"/>
      <w:r>
        <w:rPr>
          <w:rFonts w:hint="eastAsia" w:ascii="宋体" w:hAnsi="宋体"/>
          <w:color w:val="000000" w:themeColor="text1"/>
          <w:sz w:val="24"/>
          <w:szCs w:val="24"/>
          <w:highlight w:val="none"/>
          <w14:textFill>
            <w14:solidFill>
              <w14:schemeClr w14:val="tx1"/>
            </w14:solidFill>
          </w14:textFill>
        </w:rPr>
        <w:t>10.4对与评选活动有关的工作人员的纪律要求</w:t>
      </w:r>
      <w:bookmarkEnd w:id="404"/>
      <w:bookmarkEnd w:id="405"/>
      <w:bookmarkEnd w:id="406"/>
      <w:bookmarkEnd w:id="407"/>
      <w:bookmarkEnd w:id="408"/>
      <w:bookmarkEnd w:id="409"/>
      <w:bookmarkEnd w:id="410"/>
      <w:bookmarkEnd w:id="411"/>
      <w:bookmarkEnd w:id="412"/>
      <w:bookmarkEnd w:id="413"/>
    </w:p>
    <w:p w14:paraId="4722766D">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bookmarkStart w:id="415" w:name="_Toc152042355"/>
      <w:r>
        <w:rPr>
          <w:rFonts w:hint="eastAsia" w:ascii="宋体" w:hAnsi="宋体" w:cs="宋体"/>
          <w:color w:val="000000" w:themeColor="text1"/>
          <w:sz w:val="24"/>
          <w:highlight w:val="none"/>
          <w14:textFill>
            <w14:solidFill>
              <w14:schemeClr w14:val="tx1"/>
            </w14:solidFill>
          </w14:textFill>
        </w:rPr>
        <w:t>与评选活动有关的工作人员不得收受他人的财物或者其他好处，不得向他人透漏对参选文件的评审和比较、中选候选人的推荐情况以及评选有关的其他情况。在评选活动中，与评选活动有关的工作人员不得擅离职守，影响评选程序正常进行。</w:t>
      </w:r>
      <w:bookmarkEnd w:id="415"/>
    </w:p>
    <w:bookmarkEnd w:id="414"/>
    <w:p w14:paraId="102619F4">
      <w:pPr>
        <w:pStyle w:val="35"/>
        <w:numPr>
          <w:ilvl w:val="0"/>
          <w:numId w:val="3"/>
        </w:numPr>
        <w:tabs>
          <w:tab w:val="left" w:pos="602"/>
        </w:tabs>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416" w:name="_Toc477190328"/>
      <w:bookmarkEnd w:id="416"/>
      <w:bookmarkStart w:id="417" w:name="_Toc477190327"/>
      <w:bookmarkEnd w:id="417"/>
      <w:bookmarkStart w:id="418" w:name="_Toc477190326"/>
      <w:bookmarkEnd w:id="418"/>
      <w:bookmarkStart w:id="419" w:name="_Toc23277"/>
      <w:bookmarkStart w:id="420" w:name="_Toc447265556"/>
      <w:bookmarkStart w:id="421" w:name="_Toc152042357"/>
      <w:bookmarkStart w:id="422" w:name="_Toc144974547"/>
      <w:bookmarkStart w:id="423" w:name="_Toc246996224"/>
      <w:bookmarkStart w:id="424" w:name="_Toc447265270"/>
      <w:bookmarkStart w:id="425" w:name="_Toc296602467"/>
      <w:bookmarkStart w:id="426" w:name="_Toc179632598"/>
      <w:bookmarkStart w:id="427" w:name="_Toc447188709"/>
      <w:bookmarkStart w:id="428" w:name="_Toc247085738"/>
      <w:bookmarkStart w:id="429" w:name="_Toc246996967"/>
      <w:bookmarkStart w:id="430" w:name="_Toc152045580"/>
      <w:r>
        <w:rPr>
          <w:rFonts w:hint="eastAsia" w:ascii="宋体" w:hAnsi="宋体"/>
          <w:color w:val="000000" w:themeColor="text1"/>
          <w:sz w:val="24"/>
          <w:szCs w:val="24"/>
          <w:highlight w:val="none"/>
          <w14:textFill>
            <w14:solidFill>
              <w14:schemeClr w14:val="tx1"/>
            </w14:solidFill>
          </w14:textFill>
        </w:rPr>
        <w:t>需要补充的其他内容</w:t>
      </w:r>
      <w:bookmarkEnd w:id="419"/>
      <w:bookmarkEnd w:id="420"/>
      <w:bookmarkEnd w:id="421"/>
      <w:bookmarkEnd w:id="422"/>
      <w:bookmarkEnd w:id="423"/>
      <w:bookmarkEnd w:id="424"/>
      <w:bookmarkEnd w:id="425"/>
      <w:bookmarkEnd w:id="426"/>
      <w:bookmarkEnd w:id="427"/>
      <w:bookmarkEnd w:id="428"/>
      <w:bookmarkEnd w:id="429"/>
      <w:bookmarkEnd w:id="430"/>
    </w:p>
    <w:p w14:paraId="20BE5DC4">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需要补充的其他内容：见参选人须知前附表。</w:t>
      </w:r>
    </w:p>
    <w:p w14:paraId="421FDD8D">
      <w:pPr>
        <w:tabs>
          <w:tab w:val="left" w:pos="851"/>
        </w:tabs>
        <w:adjustRightInd w:val="0"/>
        <w:snapToGrid w:val="0"/>
        <w:spacing w:line="440" w:lineRule="exact"/>
        <w:rPr>
          <w:rFonts w:hint="eastAsia" w:ascii="宋体" w:hAnsi="宋体" w:cs="宋体"/>
          <w:color w:val="000000" w:themeColor="text1"/>
          <w:sz w:val="24"/>
          <w:highlight w:val="none"/>
          <w14:textFill>
            <w14:solidFill>
              <w14:schemeClr w14:val="tx1"/>
            </w14:solidFill>
          </w14:textFill>
        </w:rPr>
      </w:pPr>
    </w:p>
    <w:p w14:paraId="5B8350A6">
      <w:pPr>
        <w:pStyle w:val="45"/>
        <w:spacing w:before="240" w:after="120"/>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br w:type="page"/>
      </w:r>
      <w:bookmarkStart w:id="431" w:name="_Toc17708"/>
      <w:bookmarkStart w:id="432" w:name="_Toc447265273"/>
      <w:bookmarkStart w:id="433" w:name="_Toc447265559"/>
      <w:r>
        <w:rPr>
          <w:rFonts w:hint="eastAsia" w:ascii="宋体" w:hAnsi="宋体" w:eastAsia="宋体" w:cs="宋体"/>
          <w:b/>
          <w:bCs w:val="0"/>
          <w:color w:val="000000" w:themeColor="text1"/>
          <w:kern w:val="0"/>
          <w:sz w:val="24"/>
          <w:szCs w:val="24"/>
          <w:highlight w:val="none"/>
          <w14:textFill>
            <w14:solidFill>
              <w14:schemeClr w14:val="tx1"/>
            </w14:solidFill>
          </w14:textFill>
        </w:rPr>
        <w:t>第三章</w:t>
      </w:r>
      <w:r>
        <w:rPr>
          <w:rFonts w:ascii="宋体" w:hAnsi="宋体" w:eastAsia="宋体" w:cs="宋体"/>
          <w:b/>
          <w:bCs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b/>
          <w:bCs w:val="0"/>
          <w:color w:val="000000" w:themeColor="text1"/>
          <w:kern w:val="0"/>
          <w:sz w:val="24"/>
          <w:szCs w:val="24"/>
          <w:highlight w:val="none"/>
          <w14:textFill>
            <w14:solidFill>
              <w14:schemeClr w14:val="tx1"/>
            </w14:solidFill>
          </w14:textFill>
        </w:rPr>
        <w:t>评选办法</w:t>
      </w:r>
      <w:bookmarkEnd w:id="431"/>
      <w:bookmarkEnd w:id="432"/>
      <w:bookmarkEnd w:id="433"/>
    </w:p>
    <w:p w14:paraId="57B9D5C2">
      <w:pPr>
        <w:pStyle w:val="3"/>
        <w:snapToGrid w:val="0"/>
        <w:spacing w:before="240" w:after="120" w:line="240" w:lineRule="auto"/>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434" w:name="_Toc447265560"/>
      <w:bookmarkStart w:id="435" w:name="_Toc2780"/>
      <w:bookmarkStart w:id="436" w:name="_Toc447265274"/>
      <w:bookmarkStart w:id="437" w:name="_Toc450489344"/>
      <w:bookmarkStart w:id="438" w:name="_Toc226969316"/>
      <w:bookmarkStart w:id="439" w:name="_Toc447265562"/>
      <w:bookmarkStart w:id="440" w:name="_Toc227057922"/>
      <w:bookmarkStart w:id="441" w:name="_Toc107822520"/>
      <w:bookmarkStart w:id="442" w:name="_Toc447265276"/>
      <w:r>
        <w:rPr>
          <w:rFonts w:hint="eastAsia" w:ascii="宋体" w:hAnsi="宋体" w:eastAsia="宋体" w:cs="宋体"/>
          <w:b w:val="0"/>
          <w:bCs w:val="0"/>
          <w:color w:val="000000" w:themeColor="text1"/>
          <w:sz w:val="24"/>
          <w:szCs w:val="24"/>
          <w:highlight w:val="none"/>
          <w14:textFill>
            <w14:solidFill>
              <w14:schemeClr w14:val="tx1"/>
            </w14:solidFill>
          </w14:textFill>
        </w:rPr>
        <w:t>评选办法前附表</w:t>
      </w:r>
      <w:bookmarkEnd w:id="434"/>
      <w:bookmarkEnd w:id="435"/>
      <w:bookmarkEnd w:id="436"/>
      <w:bookmarkEnd w:id="437"/>
    </w:p>
    <w:tbl>
      <w:tblPr>
        <w:tblStyle w:val="38"/>
        <w:tblW w:w="5372"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858"/>
        <w:gridCol w:w="1271"/>
        <w:gridCol w:w="1718"/>
        <w:gridCol w:w="4415"/>
      </w:tblGrid>
      <w:tr w14:paraId="24DF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56" w:type="pct"/>
            <w:gridSpan w:val="2"/>
            <w:vAlign w:val="center"/>
          </w:tcPr>
          <w:p w14:paraId="0F4A4B12">
            <w:pPr>
              <w:snapToGrid w:val="0"/>
              <w:spacing w:line="276"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694" w:type="pct"/>
            <w:vAlign w:val="center"/>
          </w:tcPr>
          <w:p w14:paraId="302EB1FB">
            <w:pPr>
              <w:snapToGrid w:val="0"/>
              <w:spacing w:line="276"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评审内容</w:t>
            </w:r>
          </w:p>
        </w:tc>
        <w:tc>
          <w:tcPr>
            <w:tcW w:w="938" w:type="pct"/>
            <w:vAlign w:val="center"/>
          </w:tcPr>
          <w:p w14:paraId="0A6EA5C1">
            <w:pPr>
              <w:snapToGrid w:val="0"/>
              <w:spacing w:line="276"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评审因素</w:t>
            </w:r>
          </w:p>
        </w:tc>
        <w:tc>
          <w:tcPr>
            <w:tcW w:w="2410" w:type="pct"/>
            <w:vAlign w:val="center"/>
          </w:tcPr>
          <w:p w14:paraId="51D9A019">
            <w:pPr>
              <w:snapToGrid w:val="0"/>
              <w:spacing w:line="276"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评审标准</w:t>
            </w:r>
          </w:p>
        </w:tc>
      </w:tr>
      <w:tr w14:paraId="6094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88" w:type="pct"/>
            <w:vMerge w:val="restart"/>
            <w:vAlign w:val="center"/>
          </w:tcPr>
          <w:p w14:paraId="37FF2DCD">
            <w:pPr>
              <w:snapToGrid w:val="0"/>
              <w:spacing w:line="276"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p>
        </w:tc>
        <w:tc>
          <w:tcPr>
            <w:tcW w:w="467" w:type="pct"/>
            <w:vMerge w:val="restart"/>
            <w:vAlign w:val="center"/>
          </w:tcPr>
          <w:p w14:paraId="538CE085">
            <w:pPr>
              <w:snapToGrid w:val="0"/>
              <w:spacing w:line="276"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初步评审</w:t>
            </w:r>
          </w:p>
        </w:tc>
        <w:tc>
          <w:tcPr>
            <w:tcW w:w="694" w:type="pct"/>
            <w:vMerge w:val="restart"/>
            <w:vAlign w:val="center"/>
          </w:tcPr>
          <w:p w14:paraId="5E8E405B">
            <w:pPr>
              <w:snapToGrid w:val="0"/>
              <w:spacing w:line="276"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形式评审</w:t>
            </w:r>
          </w:p>
        </w:tc>
        <w:tc>
          <w:tcPr>
            <w:tcW w:w="938" w:type="pct"/>
            <w:vAlign w:val="center"/>
          </w:tcPr>
          <w:p w14:paraId="1247CE6F">
            <w:pPr>
              <w:snapToGrid w:val="0"/>
              <w:spacing w:line="276"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参选人名称</w:t>
            </w:r>
          </w:p>
        </w:tc>
        <w:tc>
          <w:tcPr>
            <w:tcW w:w="2410" w:type="pct"/>
            <w:vAlign w:val="center"/>
          </w:tcPr>
          <w:p w14:paraId="67C736F6">
            <w:pPr>
              <w:snapToGrid w:val="0"/>
              <w:spacing w:line="276"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参选人名称与营业执照文件一致。</w:t>
            </w:r>
          </w:p>
        </w:tc>
      </w:tr>
      <w:tr w14:paraId="3F6D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88" w:type="pct"/>
            <w:vMerge w:val="continue"/>
            <w:vAlign w:val="center"/>
          </w:tcPr>
          <w:p w14:paraId="3A7AEB8A">
            <w:pPr>
              <w:snapToGrid w:val="0"/>
              <w:spacing w:line="276" w:lineRule="auto"/>
              <w:jc w:val="center"/>
              <w:rPr>
                <w:rFonts w:hint="eastAsia" w:ascii="宋体" w:hAnsi="宋体" w:cs="宋体"/>
                <w:color w:val="000000" w:themeColor="text1"/>
                <w:sz w:val="24"/>
                <w:highlight w:val="none"/>
                <w14:textFill>
                  <w14:solidFill>
                    <w14:schemeClr w14:val="tx1"/>
                  </w14:solidFill>
                </w14:textFill>
              </w:rPr>
            </w:pPr>
          </w:p>
        </w:tc>
        <w:tc>
          <w:tcPr>
            <w:tcW w:w="467" w:type="pct"/>
            <w:vMerge w:val="continue"/>
            <w:vAlign w:val="center"/>
          </w:tcPr>
          <w:p w14:paraId="18AAECD2">
            <w:pPr>
              <w:snapToGrid w:val="0"/>
              <w:spacing w:line="276" w:lineRule="auto"/>
              <w:jc w:val="center"/>
              <w:rPr>
                <w:rFonts w:hint="eastAsia" w:ascii="宋体" w:hAnsi="宋体" w:cs="宋体"/>
                <w:color w:val="000000" w:themeColor="text1"/>
                <w:kern w:val="0"/>
                <w:sz w:val="24"/>
                <w:highlight w:val="none"/>
                <w14:textFill>
                  <w14:solidFill>
                    <w14:schemeClr w14:val="tx1"/>
                  </w14:solidFill>
                </w14:textFill>
              </w:rPr>
            </w:pPr>
          </w:p>
        </w:tc>
        <w:tc>
          <w:tcPr>
            <w:tcW w:w="694" w:type="pct"/>
            <w:vMerge w:val="continue"/>
            <w:vAlign w:val="center"/>
          </w:tcPr>
          <w:p w14:paraId="704BE60A">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p>
        </w:tc>
        <w:tc>
          <w:tcPr>
            <w:tcW w:w="938" w:type="pct"/>
            <w:vAlign w:val="center"/>
          </w:tcPr>
          <w:p w14:paraId="2AC4FEDA">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营业执照</w:t>
            </w:r>
          </w:p>
        </w:tc>
        <w:tc>
          <w:tcPr>
            <w:tcW w:w="2410" w:type="pct"/>
            <w:vAlign w:val="center"/>
          </w:tcPr>
          <w:p w14:paraId="6271B65A">
            <w:pPr>
              <w:snapToGrid w:val="0"/>
              <w:spacing w:line="276"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参选人应为法律上和财务上独立的法人或依法登记注册的组织，合法运作并独立于比选人和比选代理机构，名称应与营业执照一致。提供有效营业执照复印件。</w:t>
            </w:r>
          </w:p>
        </w:tc>
      </w:tr>
      <w:tr w14:paraId="1387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88" w:type="pct"/>
            <w:vMerge w:val="continue"/>
            <w:vAlign w:val="center"/>
          </w:tcPr>
          <w:p w14:paraId="68DF721D">
            <w:pPr>
              <w:snapToGrid w:val="0"/>
              <w:spacing w:line="276" w:lineRule="auto"/>
              <w:jc w:val="center"/>
              <w:rPr>
                <w:rFonts w:hint="eastAsia" w:ascii="宋体" w:hAnsi="宋体" w:cs="宋体"/>
                <w:color w:val="000000" w:themeColor="text1"/>
                <w:sz w:val="24"/>
                <w:highlight w:val="none"/>
                <w14:textFill>
                  <w14:solidFill>
                    <w14:schemeClr w14:val="tx1"/>
                  </w14:solidFill>
                </w14:textFill>
              </w:rPr>
            </w:pPr>
          </w:p>
        </w:tc>
        <w:tc>
          <w:tcPr>
            <w:tcW w:w="467" w:type="pct"/>
            <w:vMerge w:val="continue"/>
            <w:vAlign w:val="center"/>
          </w:tcPr>
          <w:p w14:paraId="5F29C2D0">
            <w:pPr>
              <w:snapToGrid w:val="0"/>
              <w:spacing w:line="276" w:lineRule="auto"/>
              <w:jc w:val="center"/>
              <w:rPr>
                <w:rFonts w:hint="eastAsia" w:ascii="宋体" w:hAnsi="宋体" w:cs="宋体"/>
                <w:color w:val="000000" w:themeColor="text1"/>
                <w:kern w:val="0"/>
                <w:sz w:val="24"/>
                <w:highlight w:val="none"/>
                <w14:textFill>
                  <w14:solidFill>
                    <w14:schemeClr w14:val="tx1"/>
                  </w14:solidFill>
                </w14:textFill>
              </w:rPr>
            </w:pPr>
          </w:p>
        </w:tc>
        <w:tc>
          <w:tcPr>
            <w:tcW w:w="694" w:type="pct"/>
            <w:vMerge w:val="continue"/>
            <w:vAlign w:val="center"/>
          </w:tcPr>
          <w:p w14:paraId="60237E33">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p>
        </w:tc>
        <w:tc>
          <w:tcPr>
            <w:tcW w:w="938" w:type="pct"/>
            <w:vAlign w:val="center"/>
          </w:tcPr>
          <w:p w14:paraId="4CAD6629">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参选函</w:t>
            </w:r>
          </w:p>
        </w:tc>
        <w:tc>
          <w:tcPr>
            <w:tcW w:w="2410" w:type="pct"/>
            <w:vAlign w:val="center"/>
          </w:tcPr>
          <w:p w14:paraId="3335017F">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按比选文件第六章“参选函”提供。</w:t>
            </w:r>
          </w:p>
        </w:tc>
      </w:tr>
      <w:tr w14:paraId="6B08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488" w:type="pct"/>
            <w:vMerge w:val="continue"/>
            <w:vAlign w:val="center"/>
          </w:tcPr>
          <w:p w14:paraId="43E44CE2">
            <w:pPr>
              <w:snapToGrid w:val="0"/>
              <w:spacing w:line="276" w:lineRule="auto"/>
              <w:jc w:val="center"/>
              <w:rPr>
                <w:rFonts w:hint="eastAsia" w:ascii="宋体" w:hAnsi="宋体" w:cs="宋体"/>
                <w:color w:val="000000" w:themeColor="text1"/>
                <w:sz w:val="24"/>
                <w:highlight w:val="none"/>
                <w14:textFill>
                  <w14:solidFill>
                    <w14:schemeClr w14:val="tx1"/>
                  </w14:solidFill>
                </w14:textFill>
              </w:rPr>
            </w:pPr>
          </w:p>
        </w:tc>
        <w:tc>
          <w:tcPr>
            <w:tcW w:w="467" w:type="pct"/>
            <w:vMerge w:val="continue"/>
            <w:vAlign w:val="center"/>
          </w:tcPr>
          <w:p w14:paraId="28665CDC">
            <w:pPr>
              <w:snapToGrid w:val="0"/>
              <w:spacing w:line="276" w:lineRule="auto"/>
              <w:jc w:val="center"/>
              <w:rPr>
                <w:rFonts w:hint="eastAsia" w:ascii="宋体" w:hAnsi="宋体" w:cs="宋体"/>
                <w:color w:val="000000" w:themeColor="text1"/>
                <w:kern w:val="0"/>
                <w:sz w:val="24"/>
                <w:highlight w:val="none"/>
                <w14:textFill>
                  <w14:solidFill>
                    <w14:schemeClr w14:val="tx1"/>
                  </w14:solidFill>
                </w14:textFill>
              </w:rPr>
            </w:pPr>
          </w:p>
        </w:tc>
        <w:tc>
          <w:tcPr>
            <w:tcW w:w="694" w:type="pct"/>
            <w:vMerge w:val="continue"/>
            <w:vAlign w:val="center"/>
          </w:tcPr>
          <w:p w14:paraId="7A0526D4">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p>
        </w:tc>
        <w:tc>
          <w:tcPr>
            <w:tcW w:w="938" w:type="pct"/>
            <w:vAlign w:val="center"/>
          </w:tcPr>
          <w:p w14:paraId="32AF9B16">
            <w:pPr>
              <w:snapToGrid w:val="0"/>
              <w:spacing w:line="276"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法定代表人身份证明及授权委托书</w:t>
            </w:r>
          </w:p>
        </w:tc>
        <w:tc>
          <w:tcPr>
            <w:tcW w:w="2410" w:type="pct"/>
            <w:vAlign w:val="center"/>
          </w:tcPr>
          <w:p w14:paraId="15DD6F70">
            <w:pPr>
              <w:snapToGrid w:val="0"/>
              <w:spacing w:line="276"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按比选文件第六章“参选文件格式”格式出具法定代表人/负责人身份证明，委托代理人的还应提供法定代表人/负责人授权委托书（原件）。</w:t>
            </w:r>
          </w:p>
        </w:tc>
      </w:tr>
      <w:tr w14:paraId="6DE0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88" w:type="pct"/>
            <w:vMerge w:val="continue"/>
            <w:vAlign w:val="center"/>
          </w:tcPr>
          <w:p w14:paraId="5013C0FC">
            <w:pPr>
              <w:snapToGrid w:val="0"/>
              <w:spacing w:line="276" w:lineRule="auto"/>
              <w:jc w:val="center"/>
              <w:rPr>
                <w:rFonts w:hint="eastAsia" w:ascii="宋体" w:hAnsi="宋体" w:cs="宋体"/>
                <w:color w:val="000000" w:themeColor="text1"/>
                <w:sz w:val="24"/>
                <w:highlight w:val="none"/>
                <w14:textFill>
                  <w14:solidFill>
                    <w14:schemeClr w14:val="tx1"/>
                  </w14:solidFill>
                </w14:textFill>
              </w:rPr>
            </w:pPr>
          </w:p>
        </w:tc>
        <w:tc>
          <w:tcPr>
            <w:tcW w:w="467" w:type="pct"/>
            <w:vMerge w:val="continue"/>
            <w:vAlign w:val="center"/>
          </w:tcPr>
          <w:p w14:paraId="20DF5D3D">
            <w:pPr>
              <w:snapToGrid w:val="0"/>
              <w:spacing w:line="276" w:lineRule="auto"/>
              <w:jc w:val="center"/>
              <w:rPr>
                <w:rFonts w:hint="eastAsia" w:ascii="宋体" w:hAnsi="宋体" w:cs="宋体"/>
                <w:color w:val="000000" w:themeColor="text1"/>
                <w:kern w:val="0"/>
                <w:sz w:val="24"/>
                <w:highlight w:val="none"/>
                <w14:textFill>
                  <w14:solidFill>
                    <w14:schemeClr w14:val="tx1"/>
                  </w14:solidFill>
                </w14:textFill>
              </w:rPr>
            </w:pPr>
          </w:p>
        </w:tc>
        <w:tc>
          <w:tcPr>
            <w:tcW w:w="694" w:type="pct"/>
            <w:vMerge w:val="continue"/>
            <w:vAlign w:val="center"/>
          </w:tcPr>
          <w:p w14:paraId="3408B0E5">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p>
        </w:tc>
        <w:tc>
          <w:tcPr>
            <w:tcW w:w="938" w:type="pct"/>
            <w:vAlign w:val="center"/>
          </w:tcPr>
          <w:p w14:paraId="4C7722D3">
            <w:pPr>
              <w:snapToGrid w:val="0"/>
              <w:spacing w:line="276"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参选文件签字盖章</w:t>
            </w:r>
          </w:p>
        </w:tc>
        <w:tc>
          <w:tcPr>
            <w:tcW w:w="2410" w:type="pct"/>
            <w:vAlign w:val="center"/>
          </w:tcPr>
          <w:p w14:paraId="117FC622">
            <w:pPr>
              <w:snapToGrid w:val="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参选函、法定代表人/负责人授权委托书（如有）、参选一览表须盖单位公章，其中法定代表人/负责人授权委托书还须由法定代表人和其委托代理人签字或盖章。</w:t>
            </w:r>
          </w:p>
        </w:tc>
      </w:tr>
      <w:tr w14:paraId="4749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8" w:type="pct"/>
            <w:vMerge w:val="continue"/>
            <w:vAlign w:val="center"/>
          </w:tcPr>
          <w:p w14:paraId="603797D8">
            <w:pPr>
              <w:snapToGrid w:val="0"/>
              <w:spacing w:line="276" w:lineRule="auto"/>
              <w:ind w:firstLine="480" w:firstLineChars="200"/>
              <w:jc w:val="center"/>
              <w:rPr>
                <w:rFonts w:hint="eastAsia" w:ascii="宋体" w:hAnsi="宋体" w:cs="宋体"/>
                <w:color w:val="000000" w:themeColor="text1"/>
                <w:sz w:val="24"/>
                <w:highlight w:val="none"/>
                <w14:textFill>
                  <w14:solidFill>
                    <w14:schemeClr w14:val="tx1"/>
                  </w14:solidFill>
                </w14:textFill>
              </w:rPr>
            </w:pPr>
          </w:p>
        </w:tc>
        <w:tc>
          <w:tcPr>
            <w:tcW w:w="467" w:type="pct"/>
            <w:vMerge w:val="continue"/>
            <w:vAlign w:val="center"/>
          </w:tcPr>
          <w:p w14:paraId="4FC9169B">
            <w:pPr>
              <w:snapToGrid w:val="0"/>
              <w:spacing w:line="276" w:lineRule="auto"/>
              <w:jc w:val="center"/>
              <w:rPr>
                <w:rFonts w:hint="eastAsia" w:ascii="宋体" w:hAnsi="宋体" w:cs="宋体"/>
                <w:color w:val="000000" w:themeColor="text1"/>
                <w:sz w:val="24"/>
                <w:highlight w:val="none"/>
                <w14:textFill>
                  <w14:solidFill>
                    <w14:schemeClr w14:val="tx1"/>
                  </w14:solidFill>
                </w14:textFill>
              </w:rPr>
            </w:pPr>
          </w:p>
        </w:tc>
        <w:tc>
          <w:tcPr>
            <w:tcW w:w="694" w:type="pct"/>
            <w:vMerge w:val="restart"/>
            <w:vAlign w:val="center"/>
          </w:tcPr>
          <w:p w14:paraId="707509AE">
            <w:pPr>
              <w:snapToGrid w:val="0"/>
              <w:spacing w:line="276"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资格评审</w:t>
            </w:r>
          </w:p>
        </w:tc>
        <w:tc>
          <w:tcPr>
            <w:tcW w:w="938" w:type="pct"/>
            <w:vAlign w:val="center"/>
          </w:tcPr>
          <w:p w14:paraId="55013C17">
            <w:pPr>
              <w:snapToGrid w:val="0"/>
              <w:spacing w:line="276"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不得存在的情形</w:t>
            </w:r>
          </w:p>
        </w:tc>
        <w:tc>
          <w:tcPr>
            <w:tcW w:w="2410" w:type="pct"/>
            <w:vAlign w:val="center"/>
          </w:tcPr>
          <w:p w14:paraId="2B6B1D24">
            <w:pPr>
              <w:snapToGrid w:val="0"/>
              <w:spacing w:line="276"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详见第三章评选办法“3.1.2” 。</w:t>
            </w:r>
          </w:p>
        </w:tc>
      </w:tr>
      <w:tr w14:paraId="601A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8" w:type="pct"/>
            <w:vMerge w:val="continue"/>
            <w:vAlign w:val="center"/>
          </w:tcPr>
          <w:p w14:paraId="733CC2EA">
            <w:pPr>
              <w:snapToGrid w:val="0"/>
              <w:spacing w:line="276" w:lineRule="auto"/>
              <w:ind w:firstLine="480" w:firstLineChars="200"/>
              <w:jc w:val="center"/>
              <w:rPr>
                <w:rFonts w:hint="eastAsia" w:ascii="宋体" w:hAnsi="宋体" w:cs="宋体"/>
                <w:color w:val="000000" w:themeColor="text1"/>
                <w:sz w:val="24"/>
                <w:highlight w:val="none"/>
                <w14:textFill>
                  <w14:solidFill>
                    <w14:schemeClr w14:val="tx1"/>
                  </w14:solidFill>
                </w14:textFill>
              </w:rPr>
            </w:pPr>
          </w:p>
        </w:tc>
        <w:tc>
          <w:tcPr>
            <w:tcW w:w="467" w:type="pct"/>
            <w:vMerge w:val="continue"/>
            <w:vAlign w:val="center"/>
          </w:tcPr>
          <w:p w14:paraId="7D0E71F5">
            <w:pPr>
              <w:snapToGrid w:val="0"/>
              <w:spacing w:line="276" w:lineRule="auto"/>
              <w:jc w:val="center"/>
              <w:rPr>
                <w:rFonts w:hint="eastAsia" w:ascii="宋体" w:hAnsi="宋体" w:cs="宋体"/>
                <w:color w:val="000000" w:themeColor="text1"/>
                <w:sz w:val="24"/>
                <w:highlight w:val="none"/>
                <w14:textFill>
                  <w14:solidFill>
                    <w14:schemeClr w14:val="tx1"/>
                  </w14:solidFill>
                </w14:textFill>
              </w:rPr>
            </w:pPr>
          </w:p>
        </w:tc>
        <w:tc>
          <w:tcPr>
            <w:tcW w:w="694" w:type="pct"/>
            <w:vMerge w:val="continue"/>
            <w:vAlign w:val="center"/>
          </w:tcPr>
          <w:p w14:paraId="2E36B406">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p>
        </w:tc>
        <w:tc>
          <w:tcPr>
            <w:tcW w:w="938" w:type="pct"/>
            <w:vAlign w:val="center"/>
          </w:tcPr>
          <w:p w14:paraId="03A512F0">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联合体</w:t>
            </w:r>
          </w:p>
        </w:tc>
        <w:tc>
          <w:tcPr>
            <w:tcW w:w="2410" w:type="pct"/>
            <w:vAlign w:val="center"/>
          </w:tcPr>
          <w:p w14:paraId="6ED442F9">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不允许联合体参加比选。</w:t>
            </w:r>
          </w:p>
        </w:tc>
      </w:tr>
      <w:tr w14:paraId="45B1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8" w:type="pct"/>
            <w:vMerge w:val="continue"/>
            <w:vAlign w:val="center"/>
          </w:tcPr>
          <w:p w14:paraId="68B2698A">
            <w:pPr>
              <w:snapToGrid w:val="0"/>
              <w:spacing w:line="276" w:lineRule="auto"/>
              <w:ind w:firstLine="480" w:firstLineChars="200"/>
              <w:jc w:val="center"/>
              <w:rPr>
                <w:rFonts w:hint="eastAsia" w:ascii="宋体" w:hAnsi="宋体" w:cs="宋体"/>
                <w:color w:val="000000" w:themeColor="text1"/>
                <w:sz w:val="24"/>
                <w:highlight w:val="none"/>
                <w14:textFill>
                  <w14:solidFill>
                    <w14:schemeClr w14:val="tx1"/>
                  </w14:solidFill>
                </w14:textFill>
              </w:rPr>
            </w:pPr>
          </w:p>
        </w:tc>
        <w:tc>
          <w:tcPr>
            <w:tcW w:w="467" w:type="pct"/>
            <w:vMerge w:val="continue"/>
            <w:vAlign w:val="center"/>
          </w:tcPr>
          <w:p w14:paraId="1F87C986">
            <w:pPr>
              <w:snapToGrid w:val="0"/>
              <w:spacing w:line="276" w:lineRule="auto"/>
              <w:jc w:val="center"/>
              <w:rPr>
                <w:rFonts w:hint="eastAsia" w:ascii="宋体" w:hAnsi="宋体" w:cs="宋体"/>
                <w:color w:val="000000" w:themeColor="text1"/>
                <w:sz w:val="24"/>
                <w:highlight w:val="none"/>
                <w14:textFill>
                  <w14:solidFill>
                    <w14:schemeClr w14:val="tx1"/>
                  </w14:solidFill>
                </w14:textFill>
              </w:rPr>
            </w:pPr>
          </w:p>
        </w:tc>
        <w:tc>
          <w:tcPr>
            <w:tcW w:w="694" w:type="pct"/>
            <w:vMerge w:val="continue"/>
            <w:vAlign w:val="center"/>
          </w:tcPr>
          <w:p w14:paraId="374ACCDB">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p>
        </w:tc>
        <w:tc>
          <w:tcPr>
            <w:tcW w:w="938" w:type="pct"/>
            <w:vAlign w:val="center"/>
          </w:tcPr>
          <w:p w14:paraId="4BA1C9B8">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参选有效期</w:t>
            </w:r>
          </w:p>
        </w:tc>
        <w:tc>
          <w:tcPr>
            <w:tcW w:w="2410" w:type="pct"/>
            <w:vAlign w:val="center"/>
          </w:tcPr>
          <w:p w14:paraId="18C481B8">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不少于90天，见参选函。</w:t>
            </w:r>
          </w:p>
        </w:tc>
      </w:tr>
      <w:tr w14:paraId="0D03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8" w:type="pct"/>
            <w:vAlign w:val="center"/>
          </w:tcPr>
          <w:p w14:paraId="3B6D86E1">
            <w:pPr>
              <w:snapToGrid w:val="0"/>
              <w:spacing w:line="276"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w:t>
            </w:r>
          </w:p>
        </w:tc>
        <w:tc>
          <w:tcPr>
            <w:tcW w:w="1162" w:type="pct"/>
            <w:gridSpan w:val="2"/>
            <w:vAlign w:val="center"/>
          </w:tcPr>
          <w:p w14:paraId="73DC3768">
            <w:pPr>
              <w:snapToGrid w:val="0"/>
              <w:spacing w:line="276"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分值构成</w:t>
            </w:r>
          </w:p>
        </w:tc>
        <w:tc>
          <w:tcPr>
            <w:tcW w:w="3348" w:type="pct"/>
            <w:gridSpan w:val="2"/>
            <w:vAlign w:val="center"/>
          </w:tcPr>
          <w:p w14:paraId="62469088">
            <w:pPr>
              <w:snapToGrid w:val="0"/>
              <w:spacing w:line="276" w:lineRule="auto"/>
              <w:ind w:firstLine="420" w:firstLineChars="175"/>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1.报价部分：50分；</w:t>
            </w:r>
          </w:p>
          <w:p w14:paraId="4823A612">
            <w:pPr>
              <w:snapToGrid w:val="0"/>
              <w:spacing w:line="276" w:lineRule="auto"/>
              <w:ind w:firstLine="420" w:firstLineChars="175"/>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2.商务部分：10分；</w:t>
            </w:r>
          </w:p>
          <w:p w14:paraId="1AA6D343">
            <w:pPr>
              <w:snapToGrid w:val="0"/>
              <w:spacing w:line="276" w:lineRule="auto"/>
              <w:ind w:firstLine="420" w:firstLineChars="175"/>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3.技术部分：40分。</w:t>
            </w:r>
          </w:p>
        </w:tc>
      </w:tr>
      <w:tr w14:paraId="197B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88" w:type="pct"/>
            <w:vMerge w:val="restart"/>
            <w:vAlign w:val="center"/>
          </w:tcPr>
          <w:p w14:paraId="594D546B">
            <w:pPr>
              <w:snapToGrid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w:t>
            </w:r>
          </w:p>
        </w:tc>
        <w:tc>
          <w:tcPr>
            <w:tcW w:w="467" w:type="pct"/>
            <w:vMerge w:val="restart"/>
            <w:vAlign w:val="center"/>
          </w:tcPr>
          <w:p w14:paraId="06AC843C">
            <w:pPr>
              <w:snapToGrid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详细评审标准</w:t>
            </w:r>
          </w:p>
        </w:tc>
        <w:tc>
          <w:tcPr>
            <w:tcW w:w="694" w:type="pct"/>
            <w:vAlign w:val="center"/>
          </w:tcPr>
          <w:p w14:paraId="2359B2D6">
            <w:pPr>
              <w:snapToGrid w:val="0"/>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报价部分评审标准</w:t>
            </w:r>
          </w:p>
          <w:p w14:paraId="432E88B2">
            <w:pPr>
              <w:snapToGrid w:val="0"/>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（50%）</w:t>
            </w:r>
          </w:p>
        </w:tc>
        <w:tc>
          <w:tcPr>
            <w:tcW w:w="3348" w:type="pct"/>
            <w:gridSpan w:val="2"/>
            <w:vAlign w:val="center"/>
          </w:tcPr>
          <w:p w14:paraId="6B3EDD0B">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有效的投标报价中的最高价为评标基准价，按照下列公式计算每个供应商的投标价格得分。</w:t>
            </w:r>
          </w:p>
          <w:p w14:paraId="65B2DAAB">
            <w:pPr>
              <w:snapToGrid w:val="0"/>
              <w:spacing w:line="276" w:lineRule="auto"/>
              <w:ind w:firstLine="420" w:firstLineChars="175"/>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投标报价得分＝（投标报价/评标基准价）×价格权重×100。</w:t>
            </w:r>
          </w:p>
        </w:tc>
      </w:tr>
      <w:tr w14:paraId="3D89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88" w:type="pct"/>
            <w:vMerge w:val="continue"/>
            <w:vAlign w:val="center"/>
          </w:tcPr>
          <w:p w14:paraId="389D8CBF">
            <w:pPr>
              <w:snapToGrid w:val="0"/>
              <w:jc w:val="center"/>
              <w:rPr>
                <w:rFonts w:hint="eastAsia" w:ascii="宋体" w:hAnsi="宋体" w:cs="宋体"/>
                <w:color w:val="000000" w:themeColor="text1"/>
                <w:sz w:val="24"/>
                <w:highlight w:val="none"/>
                <w14:textFill>
                  <w14:solidFill>
                    <w14:schemeClr w14:val="tx1"/>
                  </w14:solidFill>
                </w14:textFill>
              </w:rPr>
            </w:pPr>
          </w:p>
        </w:tc>
        <w:tc>
          <w:tcPr>
            <w:tcW w:w="467" w:type="pct"/>
            <w:vMerge w:val="continue"/>
            <w:vAlign w:val="center"/>
          </w:tcPr>
          <w:p w14:paraId="0F2D51EF">
            <w:pPr>
              <w:snapToGrid w:val="0"/>
              <w:jc w:val="center"/>
              <w:rPr>
                <w:rFonts w:hint="eastAsia" w:ascii="宋体" w:hAnsi="宋体" w:cs="宋体"/>
                <w:color w:val="000000" w:themeColor="text1"/>
                <w:kern w:val="0"/>
                <w:sz w:val="24"/>
                <w:highlight w:val="none"/>
                <w14:textFill>
                  <w14:solidFill>
                    <w14:schemeClr w14:val="tx1"/>
                  </w14:solidFill>
                </w14:textFill>
              </w:rPr>
            </w:pPr>
          </w:p>
        </w:tc>
        <w:tc>
          <w:tcPr>
            <w:tcW w:w="694" w:type="pct"/>
            <w:vAlign w:val="center"/>
          </w:tcPr>
          <w:p w14:paraId="58ACE96E">
            <w:pPr>
              <w:snapToGrid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技术部分评审标准</w:t>
            </w:r>
            <w:r>
              <w:rPr>
                <w:rFonts w:hint="eastAsia" w:ascii="宋体" w:hAnsi="宋体" w:cs="宋体"/>
                <w:color w:val="000000" w:themeColor="text1"/>
                <w:kern w:val="0"/>
                <w:sz w:val="24"/>
                <w:highlight w:val="none"/>
                <w14:textFill>
                  <w14:solidFill>
                    <w14:schemeClr w14:val="tx1"/>
                  </w14:solidFill>
                </w14:textFill>
              </w:rPr>
              <w:t>（40%）</w:t>
            </w:r>
          </w:p>
        </w:tc>
        <w:tc>
          <w:tcPr>
            <w:tcW w:w="3348" w:type="pct"/>
            <w:gridSpan w:val="2"/>
            <w:vAlign w:val="center"/>
          </w:tcPr>
          <w:p w14:paraId="7C841638">
            <w:pPr>
              <w:snapToGri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1.停车场承租经营方案（10分）</w:t>
            </w:r>
          </w:p>
          <w:p w14:paraId="72556CCF">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包括但不限于含车辆管理规定、停车场守则、车辆管理工作标准、停车场负责人职责、停车场收费人员职责、交通意外事故处理预案等管理制度。</w:t>
            </w:r>
          </w:p>
          <w:p w14:paraId="523C34D0">
            <w:pPr>
              <w:pStyle w:val="46"/>
              <w:numPr>
                <w:ilvl w:val="0"/>
                <w:numId w:val="7"/>
              </w:numPr>
              <w:snapToGrid w:val="0"/>
              <w:spacing w:line="360" w:lineRule="auto"/>
              <w:ind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方案内容完整、详实、全面、可行性强的为优，得10-6分；</w:t>
            </w:r>
          </w:p>
          <w:p w14:paraId="6AC2F3E4">
            <w:pPr>
              <w:pStyle w:val="46"/>
              <w:numPr>
                <w:ilvl w:val="0"/>
                <w:numId w:val="7"/>
              </w:numPr>
              <w:snapToGrid w:val="0"/>
              <w:spacing w:line="360" w:lineRule="auto"/>
              <w:ind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方案内容基本完整、但不够详实、全面、可行性较强的为良，得5-1分；</w:t>
            </w:r>
          </w:p>
          <w:p w14:paraId="541353FC">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③方案内容不完整，可实施性不明确的为差，得9-0分；</w:t>
            </w:r>
          </w:p>
          <w:p w14:paraId="0489C271">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④未提供方案的，得0分。</w:t>
            </w:r>
          </w:p>
          <w:p w14:paraId="33F51F00">
            <w:pPr>
              <w:snapToGri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w:t>
            </w:r>
            <w:r>
              <w:rPr>
                <w:rFonts w:hint="eastAsia" w:ascii="宋体" w:hAnsi="宋体" w:cs="宋体"/>
                <w:b/>
                <w:bCs/>
                <w:color w:val="000000" w:themeColor="text1"/>
                <w:sz w:val="24"/>
                <w:highlight w:val="none"/>
                <w:lang w:val="zh-CN"/>
                <w14:textFill>
                  <w14:solidFill>
                    <w14:schemeClr w14:val="tx1"/>
                  </w14:solidFill>
                </w14:textFill>
              </w:rPr>
              <w:t>设备和专业技术能力</w:t>
            </w:r>
            <w:r>
              <w:rPr>
                <w:rFonts w:hint="eastAsia" w:ascii="宋体" w:hAnsi="宋体" w:cs="宋体"/>
                <w:b/>
                <w:bCs/>
                <w:color w:val="000000" w:themeColor="text1"/>
                <w:sz w:val="24"/>
                <w:highlight w:val="none"/>
                <w14:textFill>
                  <w14:solidFill>
                    <w14:schemeClr w14:val="tx1"/>
                  </w14:solidFill>
                </w14:textFill>
              </w:rPr>
              <w:t>方案（10分）</w:t>
            </w:r>
          </w:p>
          <w:p w14:paraId="5DB31472">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包括但不限于有相关停车场技术设备、停车场智联管理经验等内容。</w:t>
            </w:r>
          </w:p>
          <w:p w14:paraId="3A244443">
            <w:pPr>
              <w:pStyle w:val="46"/>
              <w:numPr>
                <w:ilvl w:val="0"/>
                <w:numId w:val="8"/>
              </w:numPr>
              <w:snapToGrid w:val="0"/>
              <w:spacing w:line="360" w:lineRule="auto"/>
              <w:ind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方案内容完整、详实、全面、可行性强的为优，得10-8分；</w:t>
            </w:r>
          </w:p>
          <w:p w14:paraId="1C5B98EE">
            <w:pPr>
              <w:pStyle w:val="46"/>
              <w:numPr>
                <w:ilvl w:val="0"/>
                <w:numId w:val="8"/>
              </w:numPr>
              <w:snapToGrid w:val="0"/>
              <w:spacing w:line="360" w:lineRule="auto"/>
              <w:ind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方案内容基本完整、但不够详实、全面、可行性较强的为良，得7-5分；</w:t>
            </w:r>
          </w:p>
          <w:p w14:paraId="0106AD18">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③方案内容不完整，可实施性不明确的为差，得4-0分；</w:t>
            </w:r>
          </w:p>
          <w:p w14:paraId="782B21E5">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④未提供方案的，得0分。</w:t>
            </w:r>
          </w:p>
          <w:p w14:paraId="29C04687">
            <w:pPr>
              <w:snapToGri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w:t>
            </w:r>
            <w:r>
              <w:rPr>
                <w:rFonts w:hint="eastAsia" w:ascii="宋体" w:hAnsi="宋体" w:cs="宋体"/>
                <w:b/>
                <w:bCs/>
                <w:color w:val="000000" w:themeColor="text1"/>
                <w:sz w:val="24"/>
                <w:highlight w:val="none"/>
                <w:lang w:val="zh-CN"/>
                <w14:textFill>
                  <w14:solidFill>
                    <w14:schemeClr w14:val="tx1"/>
                  </w14:solidFill>
                </w14:textFill>
              </w:rPr>
              <w:t>突发应急方案</w:t>
            </w:r>
            <w:r>
              <w:rPr>
                <w:rFonts w:hint="eastAsia" w:ascii="宋体" w:hAnsi="宋体" w:cs="宋体"/>
                <w:b/>
                <w:bCs/>
                <w:color w:val="000000" w:themeColor="text1"/>
                <w:sz w:val="24"/>
                <w:highlight w:val="none"/>
                <w14:textFill>
                  <w14:solidFill>
                    <w14:schemeClr w14:val="tx1"/>
                  </w14:solidFill>
                </w14:textFill>
              </w:rPr>
              <w:t>（10分）</w:t>
            </w:r>
          </w:p>
          <w:p w14:paraId="505E837B">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包括但不限于</w:t>
            </w:r>
            <w:r>
              <w:rPr>
                <w:rFonts w:hint="eastAsia" w:ascii="宋体" w:hAnsi="宋体" w:cs="宋体"/>
                <w:color w:val="000000" w:themeColor="text1"/>
                <w:sz w:val="24"/>
                <w:highlight w:val="none"/>
                <w:lang w:val="zh-CN"/>
                <w14:textFill>
                  <w14:solidFill>
                    <w14:schemeClr w14:val="tx1"/>
                  </w14:solidFill>
                </w14:textFill>
              </w:rPr>
              <w:t>提供停电、消防、车辆事故、车辆丢失、人员受伤等应急措施。</w:t>
            </w:r>
          </w:p>
          <w:p w14:paraId="54E6E8BD">
            <w:pPr>
              <w:pStyle w:val="46"/>
              <w:numPr>
                <w:ilvl w:val="0"/>
                <w:numId w:val="9"/>
              </w:numPr>
              <w:snapToGrid w:val="0"/>
              <w:spacing w:line="360" w:lineRule="auto"/>
              <w:ind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方案内容完整、详实、全面、可行性强的为优，得10-8分；</w:t>
            </w:r>
          </w:p>
          <w:p w14:paraId="397B7972">
            <w:pPr>
              <w:pStyle w:val="46"/>
              <w:numPr>
                <w:ilvl w:val="0"/>
                <w:numId w:val="9"/>
              </w:numPr>
              <w:snapToGrid w:val="0"/>
              <w:spacing w:line="360" w:lineRule="auto"/>
              <w:ind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方案内容基本完整、但不够详实、全面、可行性较强的为良，得7-5分；</w:t>
            </w:r>
          </w:p>
          <w:p w14:paraId="50EEDBA3">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③方案内容不完整，可实施性不明确的为差，得4-0分；</w:t>
            </w:r>
          </w:p>
          <w:p w14:paraId="766CD228">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④未提供方案的，得0分。</w:t>
            </w:r>
          </w:p>
          <w:p w14:paraId="47C72F7C">
            <w:pPr>
              <w:snapToGri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zh-CN"/>
                <w14:textFill>
                  <w14:solidFill>
                    <w14:schemeClr w14:val="tx1"/>
                  </w14:solidFill>
                </w14:textFill>
              </w:rPr>
              <w:t>环境保护</w:t>
            </w:r>
            <w:r>
              <w:rPr>
                <w:rFonts w:hint="eastAsia" w:ascii="宋体" w:hAnsi="宋体" w:cs="宋体"/>
                <w:b/>
                <w:bCs/>
                <w:color w:val="000000" w:themeColor="text1"/>
                <w:sz w:val="24"/>
                <w:highlight w:val="none"/>
                <w14:textFill>
                  <w14:solidFill>
                    <w14:schemeClr w14:val="tx1"/>
                  </w14:solidFill>
                </w14:textFill>
              </w:rPr>
              <w:t>方案（10分）</w:t>
            </w:r>
          </w:p>
          <w:p w14:paraId="3F7571B4">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包括但不限于保障停车场环境卫生。</w:t>
            </w:r>
          </w:p>
          <w:p w14:paraId="1797CF13">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①方案内容完整、详实、全面、可行性强的为优，得10-8分；</w:t>
            </w:r>
          </w:p>
          <w:p w14:paraId="35EFC6B9">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②方案内容基本完整、但不够详实、全面、可行性较强的为良，得7-5分；</w:t>
            </w:r>
          </w:p>
          <w:p w14:paraId="4AA7713C">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③方案内容不完整，可实施性不明确的为差，得4-0分；</w:t>
            </w:r>
          </w:p>
          <w:p w14:paraId="14AFF652">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④未提供方案的，得0分。</w:t>
            </w:r>
          </w:p>
        </w:tc>
      </w:tr>
      <w:tr w14:paraId="72DF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488" w:type="pct"/>
            <w:vMerge w:val="continue"/>
            <w:vAlign w:val="center"/>
          </w:tcPr>
          <w:p w14:paraId="5D42060D">
            <w:pPr>
              <w:snapToGrid w:val="0"/>
              <w:jc w:val="center"/>
              <w:rPr>
                <w:rFonts w:hint="eastAsia" w:ascii="宋体" w:hAnsi="宋体" w:cs="宋体"/>
                <w:color w:val="000000" w:themeColor="text1"/>
                <w:sz w:val="24"/>
                <w:highlight w:val="none"/>
                <w14:textFill>
                  <w14:solidFill>
                    <w14:schemeClr w14:val="tx1"/>
                  </w14:solidFill>
                </w14:textFill>
              </w:rPr>
            </w:pPr>
          </w:p>
        </w:tc>
        <w:tc>
          <w:tcPr>
            <w:tcW w:w="467" w:type="pct"/>
            <w:vMerge w:val="continue"/>
            <w:vAlign w:val="center"/>
          </w:tcPr>
          <w:p w14:paraId="48EEFAA3">
            <w:pPr>
              <w:snapToGrid w:val="0"/>
              <w:jc w:val="center"/>
              <w:rPr>
                <w:rFonts w:hint="eastAsia" w:ascii="宋体" w:hAnsi="宋体" w:cs="宋体"/>
                <w:color w:val="000000" w:themeColor="text1"/>
                <w:kern w:val="0"/>
                <w:sz w:val="24"/>
                <w:highlight w:val="none"/>
                <w14:textFill>
                  <w14:solidFill>
                    <w14:schemeClr w14:val="tx1"/>
                  </w14:solidFill>
                </w14:textFill>
              </w:rPr>
            </w:pPr>
          </w:p>
        </w:tc>
        <w:tc>
          <w:tcPr>
            <w:tcW w:w="694" w:type="pct"/>
            <w:vAlign w:val="center"/>
          </w:tcPr>
          <w:p w14:paraId="131217DC">
            <w:pPr>
              <w:snapToGrid w:val="0"/>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商务部分评审标准（10%）</w:t>
            </w:r>
          </w:p>
        </w:tc>
        <w:tc>
          <w:tcPr>
            <w:tcW w:w="3348" w:type="pct"/>
            <w:gridSpan w:val="2"/>
            <w:vAlign w:val="center"/>
          </w:tcPr>
          <w:p w14:paraId="382A01D4">
            <w:pPr>
              <w:snapToGrid w:val="0"/>
              <w:spacing w:line="360" w:lineRule="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参选人</w:t>
            </w:r>
            <w:r>
              <w:rPr>
                <w:rFonts w:hint="eastAsia" w:ascii="宋体" w:hAnsi="宋体" w:cs="宋体"/>
                <w:color w:val="000000" w:themeColor="text1"/>
                <w:sz w:val="24"/>
                <w:highlight w:val="none"/>
                <w:lang w:val="zh-CN"/>
                <w14:textFill>
                  <w14:solidFill>
                    <w14:schemeClr w14:val="tx1"/>
                  </w14:solidFill>
                </w14:textFill>
              </w:rPr>
              <w:t>自20</w:t>
            </w:r>
            <w:r>
              <w:rPr>
                <w:rFonts w:hint="eastAsia" w:ascii="宋体" w:hAnsi="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zh-CN"/>
                <w14:textFill>
                  <w14:solidFill>
                    <w14:schemeClr w14:val="tx1"/>
                  </w14:solidFill>
                </w14:textFill>
              </w:rPr>
              <w:t>年1月1日起</w:t>
            </w:r>
            <w:r>
              <w:rPr>
                <w:rFonts w:hint="eastAsia" w:ascii="宋体" w:hAnsi="宋体" w:cs="宋体"/>
                <w:color w:val="000000" w:themeColor="text1"/>
                <w:sz w:val="24"/>
                <w:highlight w:val="none"/>
                <w14:textFill>
                  <w14:solidFill>
                    <w14:schemeClr w14:val="tx1"/>
                  </w14:solidFill>
                </w14:textFill>
              </w:rPr>
              <w:t>至今具备停车场经营权</w:t>
            </w:r>
            <w:r>
              <w:rPr>
                <w:rFonts w:hint="eastAsia" w:ascii="宋体" w:hAnsi="宋体" w:cs="宋体"/>
                <w:color w:val="000000" w:themeColor="text1"/>
                <w:sz w:val="24"/>
                <w:highlight w:val="none"/>
                <w:lang w:val="zh-CN"/>
                <w14:textFill>
                  <w14:solidFill>
                    <w14:schemeClr w14:val="tx1"/>
                  </w14:solidFill>
                </w14:textFill>
              </w:rPr>
              <w:t>服务</w:t>
            </w:r>
            <w:r>
              <w:rPr>
                <w:rFonts w:hint="eastAsia" w:ascii="宋体" w:hAnsi="宋体" w:cs="宋体"/>
                <w:color w:val="000000" w:themeColor="text1"/>
                <w:sz w:val="24"/>
                <w:highlight w:val="none"/>
                <w14:textFill>
                  <w14:solidFill>
                    <w14:schemeClr w14:val="tx1"/>
                  </w14:solidFill>
                </w14:textFill>
              </w:rPr>
              <w:t>业绩</w:t>
            </w:r>
            <w:r>
              <w:rPr>
                <w:rFonts w:hint="eastAsia" w:ascii="宋体" w:hAnsi="宋体" w:cs="宋体"/>
                <w:color w:val="000000" w:themeColor="text1"/>
                <w:sz w:val="24"/>
                <w:highlight w:val="none"/>
                <w:lang w:val="zh-CN"/>
                <w14:textFill>
                  <w14:solidFill>
                    <w14:schemeClr w14:val="tx1"/>
                  </w14:solidFill>
                </w14:textFill>
              </w:rPr>
              <w:t>，每提供1份合同或其他有效证明文件得2分，最</w:t>
            </w:r>
            <w:r>
              <w:rPr>
                <w:rFonts w:hint="eastAsia" w:ascii="宋体" w:hAnsi="宋体" w:cs="宋体"/>
                <w:color w:val="000000" w:themeColor="text1"/>
                <w:sz w:val="24"/>
                <w:highlight w:val="none"/>
                <w14:textFill>
                  <w14:solidFill>
                    <w14:schemeClr w14:val="tx1"/>
                  </w14:solidFill>
                </w14:textFill>
              </w:rPr>
              <w:t>多</w:t>
            </w:r>
            <w:r>
              <w:rPr>
                <w:rFonts w:hint="eastAsia" w:ascii="宋体" w:hAnsi="宋体" w:cs="宋体"/>
                <w:color w:val="000000" w:themeColor="text1"/>
                <w:sz w:val="24"/>
                <w:highlight w:val="none"/>
                <w:lang w:val="zh-CN"/>
                <w14:textFill>
                  <w14:solidFill>
                    <w14:schemeClr w14:val="tx1"/>
                  </w14:solidFill>
                </w14:textFill>
              </w:rPr>
              <w:t>得</w:t>
            </w:r>
            <w:r>
              <w:rPr>
                <w:rFonts w:hint="eastAsia"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lang w:val="zh-CN"/>
                <w14:textFill>
                  <w14:solidFill>
                    <w14:schemeClr w14:val="tx1"/>
                  </w14:solidFill>
                </w14:textFill>
              </w:rPr>
              <w:t>分。</w:t>
            </w:r>
          </w:p>
          <w:p w14:paraId="3E94F09E">
            <w:pPr>
              <w:snapToGrid w:val="0"/>
              <w:spacing w:line="276"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提供有效证明材料复印件加盖供应商公章。</w:t>
            </w:r>
          </w:p>
        </w:tc>
      </w:tr>
      <w:tr w14:paraId="0273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88" w:type="pct"/>
            <w:vAlign w:val="center"/>
          </w:tcPr>
          <w:p w14:paraId="08E1EF3A">
            <w:pPr>
              <w:snapToGrid w:val="0"/>
              <w:spacing w:line="276"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3.2.1</w:t>
            </w:r>
          </w:p>
        </w:tc>
        <w:tc>
          <w:tcPr>
            <w:tcW w:w="467" w:type="pct"/>
            <w:vAlign w:val="center"/>
          </w:tcPr>
          <w:p w14:paraId="5EA34089">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评标结果</w:t>
            </w:r>
          </w:p>
        </w:tc>
        <w:tc>
          <w:tcPr>
            <w:tcW w:w="4043" w:type="pct"/>
            <w:gridSpan w:val="3"/>
            <w:vAlign w:val="center"/>
          </w:tcPr>
          <w:p w14:paraId="37EFB803">
            <w:pPr>
              <w:tabs>
                <w:tab w:val="right" w:pos="525"/>
              </w:tabs>
              <w:spacing w:before="36" w:after="36" w:line="276" w:lineRule="auto"/>
              <w:ind w:right="-8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总得分=报价部分得分+商务部分得分+技术部分得分。</w:t>
            </w:r>
          </w:p>
        </w:tc>
      </w:tr>
      <w:tr w14:paraId="27CD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88" w:type="pct"/>
            <w:vAlign w:val="center"/>
          </w:tcPr>
          <w:p w14:paraId="16EC49AB">
            <w:pPr>
              <w:snapToGrid w:val="0"/>
              <w:spacing w:line="276"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w:t>
            </w:r>
          </w:p>
        </w:tc>
        <w:tc>
          <w:tcPr>
            <w:tcW w:w="467" w:type="pct"/>
            <w:vAlign w:val="center"/>
          </w:tcPr>
          <w:p w14:paraId="01D2F048">
            <w:pPr>
              <w:snapToGrid w:val="0"/>
              <w:spacing w:line="276"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中选候选人推荐原则</w:t>
            </w:r>
          </w:p>
        </w:tc>
        <w:tc>
          <w:tcPr>
            <w:tcW w:w="4043" w:type="pct"/>
            <w:gridSpan w:val="3"/>
            <w:vAlign w:val="center"/>
          </w:tcPr>
          <w:p w14:paraId="1458A565">
            <w:pPr>
              <w:snapToGrid w:val="0"/>
              <w:spacing w:line="4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按评审后得分由高到低的排列顺序推荐综合得分排名前三的参选人为本项目中标候选人，排名第一的为第一中标候选人。得分相同的，按投标报价由高到低顺序排列。得分且投标报价相同的由</w:t>
            </w:r>
            <w:r>
              <w:rPr>
                <w:rFonts w:hint="eastAsia" w:ascii="宋体" w:hAnsi="宋体" w:cs="宋体"/>
                <w:color w:val="000000" w:themeColor="text1"/>
                <w:kern w:val="0"/>
                <w:sz w:val="24"/>
                <w:highlight w:val="none"/>
                <w14:textFill>
                  <w14:solidFill>
                    <w14:schemeClr w14:val="tx1"/>
                  </w14:solidFill>
                </w14:textFill>
              </w:rPr>
              <w:t>评选委员会无记名投票确定优先顺序</w:t>
            </w:r>
            <w:r>
              <w:rPr>
                <w:rFonts w:hint="eastAsia" w:ascii="宋体" w:hAnsi="宋体" w:cs="宋体"/>
                <w:color w:val="000000" w:themeColor="text1"/>
                <w:sz w:val="24"/>
                <w:highlight w:val="none"/>
                <w14:textFill>
                  <w14:solidFill>
                    <w14:schemeClr w14:val="tx1"/>
                  </w14:solidFill>
                </w14:textFill>
              </w:rPr>
              <w:t>。</w:t>
            </w:r>
          </w:p>
        </w:tc>
      </w:tr>
    </w:tbl>
    <w:p w14:paraId="1B42121A">
      <w:pPr>
        <w:spacing w:after="120"/>
        <w:ind w:firstLine="484" w:firstLineChars="201"/>
        <w:rPr>
          <w:rFonts w:hint="eastAsia" w:ascii="宋体" w:hAnsi="宋体"/>
          <w:b/>
          <w:color w:val="000000" w:themeColor="text1"/>
          <w:sz w:val="24"/>
          <w:highlight w:val="none"/>
          <w14:textFill>
            <w14:solidFill>
              <w14:schemeClr w14:val="tx1"/>
            </w14:solidFill>
          </w14:textFill>
        </w:rPr>
      </w:pPr>
    </w:p>
    <w:p w14:paraId="50BD31C2">
      <w:pPr>
        <w:rPr>
          <w:rFonts w:hint="eastAsia" w:ascii="宋体" w:hAnsi="宋体"/>
          <w:color w:val="000000" w:themeColor="text1"/>
          <w:sz w:val="24"/>
          <w:highlight w:val="none"/>
          <w14:textFill>
            <w14:solidFill>
              <w14:schemeClr w14:val="tx1"/>
            </w14:solidFill>
          </w14:textFill>
        </w:rPr>
      </w:pPr>
      <w:bookmarkStart w:id="443" w:name="_Toc450489345"/>
      <w:r>
        <w:rPr>
          <w:rFonts w:hint="eastAsia" w:ascii="宋体" w:hAnsi="宋体"/>
          <w:color w:val="000000" w:themeColor="text1"/>
          <w:sz w:val="24"/>
          <w:highlight w:val="none"/>
          <w14:textFill>
            <w14:solidFill>
              <w14:schemeClr w14:val="tx1"/>
            </w14:solidFill>
          </w14:textFill>
        </w:rPr>
        <w:br w:type="page"/>
      </w:r>
    </w:p>
    <w:p w14:paraId="052AAFCE">
      <w:pPr>
        <w:pStyle w:val="35"/>
        <w:numPr>
          <w:ilvl w:val="0"/>
          <w:numId w:val="10"/>
        </w:numPr>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444" w:name="_Toc25073"/>
      <w:r>
        <w:rPr>
          <w:rFonts w:hint="eastAsia" w:ascii="宋体" w:hAnsi="宋体"/>
          <w:color w:val="000000" w:themeColor="text1"/>
          <w:sz w:val="24"/>
          <w:szCs w:val="24"/>
          <w:highlight w:val="none"/>
          <w14:textFill>
            <w14:solidFill>
              <w14:schemeClr w14:val="tx1"/>
            </w14:solidFill>
          </w14:textFill>
        </w:rPr>
        <w:t>评选方法</w:t>
      </w:r>
      <w:bookmarkEnd w:id="443"/>
      <w:bookmarkEnd w:id="444"/>
    </w:p>
    <w:p w14:paraId="51A71A85">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评选委员会对满足比选文件实质要求的参选文件，根据本章第2.2款规定的评分因素和评分标准进行评审，按照合作经营费报价由高到低的顺序推荐中选候选人。</w:t>
      </w:r>
    </w:p>
    <w:p w14:paraId="12B1525C">
      <w:pPr>
        <w:pStyle w:val="35"/>
        <w:numPr>
          <w:ilvl w:val="0"/>
          <w:numId w:val="10"/>
        </w:numPr>
        <w:tabs>
          <w:tab w:val="left" w:pos="602"/>
        </w:tabs>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445" w:name="_Toc450489346"/>
      <w:bookmarkStart w:id="446" w:name="_Toc1012"/>
      <w:r>
        <w:rPr>
          <w:rFonts w:hint="eastAsia" w:ascii="宋体" w:hAnsi="宋体"/>
          <w:color w:val="000000" w:themeColor="text1"/>
          <w:sz w:val="24"/>
          <w:szCs w:val="24"/>
          <w:highlight w:val="none"/>
          <w14:textFill>
            <w14:solidFill>
              <w14:schemeClr w14:val="tx1"/>
            </w14:solidFill>
          </w14:textFill>
        </w:rPr>
        <w:t>评审标准</w:t>
      </w:r>
      <w:bookmarkEnd w:id="445"/>
      <w:bookmarkEnd w:id="446"/>
    </w:p>
    <w:p w14:paraId="37B1586F">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447" w:name="_Toc450489347"/>
      <w:bookmarkStart w:id="448" w:name="_Toc2322"/>
      <w:r>
        <w:rPr>
          <w:rFonts w:hint="eastAsia" w:ascii="宋体" w:hAnsi="宋体"/>
          <w:color w:val="000000" w:themeColor="text1"/>
          <w:sz w:val="24"/>
          <w:szCs w:val="24"/>
          <w:highlight w:val="none"/>
          <w14:textFill>
            <w14:solidFill>
              <w14:schemeClr w14:val="tx1"/>
            </w14:solidFill>
          </w14:textFill>
        </w:rPr>
        <w:t>2.1初步评审标准</w:t>
      </w:r>
      <w:bookmarkEnd w:id="447"/>
      <w:bookmarkEnd w:id="448"/>
    </w:p>
    <w:p w14:paraId="299A58F7">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初步评审标准：见评选办法前附表。</w:t>
      </w:r>
    </w:p>
    <w:p w14:paraId="2153CFE1">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449" w:name="_Toc450489348"/>
      <w:bookmarkStart w:id="450" w:name="_Toc21880"/>
      <w:r>
        <w:rPr>
          <w:rFonts w:hint="eastAsia" w:ascii="宋体" w:hAnsi="宋体"/>
          <w:color w:val="000000" w:themeColor="text1"/>
          <w:sz w:val="24"/>
          <w:szCs w:val="24"/>
          <w:highlight w:val="none"/>
          <w14:textFill>
            <w14:solidFill>
              <w14:schemeClr w14:val="tx1"/>
            </w14:solidFill>
          </w14:textFill>
        </w:rPr>
        <w:t>2.2详细评审标准</w:t>
      </w:r>
      <w:bookmarkEnd w:id="449"/>
      <w:bookmarkEnd w:id="450"/>
    </w:p>
    <w:p w14:paraId="275A9D8B">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2.2.1分值构成：</w:t>
      </w:r>
    </w:p>
    <w:p w14:paraId="5A5A96D1">
      <w:pPr>
        <w:adjustRightInd w:val="0"/>
        <w:snapToGrid w:val="0"/>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2.2.2详细评审标准：见评选办法前附表。</w:t>
      </w:r>
    </w:p>
    <w:p w14:paraId="6058A80A">
      <w:pPr>
        <w:pStyle w:val="35"/>
        <w:numPr>
          <w:ilvl w:val="0"/>
          <w:numId w:val="10"/>
        </w:numPr>
        <w:snapToGrid w:val="0"/>
        <w:spacing w:before="120" w:after="120" w:line="440" w:lineRule="exact"/>
        <w:ind w:left="0" w:firstLine="0"/>
        <w:jc w:val="left"/>
        <w:rPr>
          <w:rFonts w:hint="eastAsia" w:ascii="宋体" w:hAnsi="宋体"/>
          <w:color w:val="000000" w:themeColor="text1"/>
          <w:sz w:val="24"/>
          <w:szCs w:val="24"/>
          <w:highlight w:val="none"/>
          <w14:textFill>
            <w14:solidFill>
              <w14:schemeClr w14:val="tx1"/>
            </w14:solidFill>
          </w14:textFill>
        </w:rPr>
      </w:pPr>
      <w:bookmarkStart w:id="451" w:name="_Toc17784"/>
      <w:bookmarkStart w:id="452" w:name="_Toc450489349"/>
      <w:r>
        <w:rPr>
          <w:rFonts w:hint="eastAsia" w:ascii="宋体" w:hAnsi="宋体"/>
          <w:color w:val="000000" w:themeColor="text1"/>
          <w:sz w:val="24"/>
          <w:szCs w:val="24"/>
          <w:highlight w:val="none"/>
          <w14:textFill>
            <w14:solidFill>
              <w14:schemeClr w14:val="tx1"/>
            </w14:solidFill>
          </w14:textFill>
        </w:rPr>
        <w:t>评选程序</w:t>
      </w:r>
      <w:bookmarkEnd w:id="451"/>
      <w:bookmarkEnd w:id="452"/>
    </w:p>
    <w:p w14:paraId="443378D9">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453" w:name="_Toc450489350"/>
      <w:bookmarkStart w:id="454" w:name="_Toc31890"/>
      <w:r>
        <w:rPr>
          <w:rFonts w:hint="eastAsia" w:ascii="宋体" w:hAnsi="宋体"/>
          <w:color w:val="000000" w:themeColor="text1"/>
          <w:sz w:val="24"/>
          <w:szCs w:val="24"/>
          <w:highlight w:val="none"/>
          <w14:textFill>
            <w14:solidFill>
              <w14:schemeClr w14:val="tx1"/>
            </w14:solidFill>
          </w14:textFill>
        </w:rPr>
        <w:t>3.1初步评审</w:t>
      </w:r>
      <w:bookmarkEnd w:id="453"/>
      <w:bookmarkEnd w:id="454"/>
    </w:p>
    <w:p w14:paraId="05B00848">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3.1.1评选委员会根据本章第2.1款规定的标准对参选文件进行初步评审。有一项不符合评审标准的，评选委员会应当否决其参选。</w:t>
      </w:r>
    </w:p>
    <w:p w14:paraId="4D3A77C4">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3.1.2参选人有以下情形之一的，评选委员会应当否决其参选：</w:t>
      </w:r>
    </w:p>
    <w:p w14:paraId="57116A3A">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第二章“参选人须知”第1.8款规定的任何一种情形的；</w:t>
      </w:r>
    </w:p>
    <w:p w14:paraId="52250C9C">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不按照评选委员会要求澄清、说明或者补正的；</w:t>
      </w:r>
    </w:p>
    <w:p w14:paraId="726198D5">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参选文件</w:t>
      </w:r>
      <w:r>
        <w:rPr>
          <w:rFonts w:hint="eastAsia" w:cs="宋体" w:asciiTheme="minorEastAsia" w:hAnsiTheme="minorEastAsia" w:eastAsiaTheme="minorEastAsia"/>
          <w:color w:val="000000" w:themeColor="text1"/>
          <w:sz w:val="24"/>
          <w:highlight w:val="none"/>
          <w14:textFill>
            <w14:solidFill>
              <w14:schemeClr w14:val="tx1"/>
            </w14:solidFill>
          </w14:textFill>
        </w:rPr>
        <w:t>未按照比选文件要求盖章和签字</w:t>
      </w:r>
      <w:r>
        <w:rPr>
          <w:rFonts w:hint="eastAsia" w:ascii="宋体" w:hAnsi="宋体" w:cs="宋体"/>
          <w:color w:val="000000" w:themeColor="text1"/>
          <w:sz w:val="24"/>
          <w:highlight w:val="none"/>
          <w14:textFill>
            <w14:solidFill>
              <w14:schemeClr w14:val="tx1"/>
            </w14:solidFill>
          </w14:textFill>
        </w:rPr>
        <w:t>；</w:t>
      </w:r>
    </w:p>
    <w:p w14:paraId="25310D41">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允许联合体参选的，参选联合体没有递交共同参选协议；</w:t>
      </w:r>
    </w:p>
    <w:p w14:paraId="65D6436A">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参选人不符合国家或者比选文件规定的资格条件；</w:t>
      </w:r>
    </w:p>
    <w:p w14:paraId="67E51A50">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同一参选人递交两个以上不同的参选文件或者参选报价，但参选文件要求递交备选参选方案的除外；</w:t>
      </w:r>
    </w:p>
    <w:p w14:paraId="5B2F62FA">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参选文件没有对比选文件的实质性要求和条件做出响应；</w:t>
      </w:r>
    </w:p>
    <w:p w14:paraId="43F4EA96">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参选人有串通参选、弄虚作假、行贿等违法行为；</w:t>
      </w:r>
    </w:p>
    <w:p w14:paraId="25D84733">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参选人以他人名义参选；</w:t>
      </w:r>
    </w:p>
    <w:p w14:paraId="753026AC">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没有按照比选文件要求提供比选担保或者所提供的参选担保有瑕疵；</w:t>
      </w:r>
    </w:p>
    <w:p w14:paraId="534888B3">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参选文件载明的比选项目完成期限超过比选文件规定的期限；</w:t>
      </w:r>
    </w:p>
    <w:p w14:paraId="20B10A61">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明显不符合技术规格、技术标准的要求；</w:t>
      </w:r>
    </w:p>
    <w:p w14:paraId="42E7EC6D">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参选文件载明的货物包装方式、检验标准和方法等不符合比选文件的要求；</w:t>
      </w:r>
    </w:p>
    <w:p w14:paraId="5665EC7C">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参选文件附有比选人不能接受的条件；</w:t>
      </w:r>
    </w:p>
    <w:p w14:paraId="1F2E378D">
      <w:pPr>
        <w:pStyle w:val="46"/>
        <w:numPr>
          <w:ilvl w:val="1"/>
          <w:numId w:val="11"/>
        </w:numPr>
        <w:tabs>
          <w:tab w:val="left" w:pos="993"/>
        </w:tabs>
        <w:adjustRightInd w:val="0"/>
        <w:snapToGrid w:val="0"/>
        <w:spacing w:line="440" w:lineRule="exact"/>
        <w:ind w:left="0" w:firstLine="42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不符合比选文件中规定的其他实质性要求。</w:t>
      </w:r>
    </w:p>
    <w:p w14:paraId="4B15E248">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3.1.4参选报价有算术错误的，评选委员会按照以下原则对参选报价进行修正，修正的价格经参选人书面确认后具有约束力。参选人不接受修正价格的，评选委员会应当否决其参选。</w:t>
      </w:r>
    </w:p>
    <w:p w14:paraId="2196B7A1">
      <w:pPr>
        <w:adjustRightInd w:val="0"/>
        <w:snapToGrid w:val="0"/>
        <w:spacing w:line="44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（1）参选文件中的大写金额与小写金额不一致的，以大写金额为准；</w:t>
      </w:r>
    </w:p>
    <w:p w14:paraId="2E0F5C4D">
      <w:pPr>
        <w:adjustRightInd w:val="0"/>
        <w:snapToGrid w:val="0"/>
        <w:spacing w:line="44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（2）总价金额与根据单价计算出的结果不一致的，以单价金额为准修正总价，但单价金额小数点有明显错误的除外。</w:t>
      </w:r>
    </w:p>
    <w:p w14:paraId="1E54D462">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455" w:name="_Toc28134"/>
      <w:bookmarkStart w:id="456" w:name="_Toc450489351"/>
      <w:r>
        <w:rPr>
          <w:rFonts w:hint="eastAsia" w:ascii="宋体" w:hAnsi="宋体"/>
          <w:color w:val="000000" w:themeColor="text1"/>
          <w:sz w:val="24"/>
          <w:szCs w:val="24"/>
          <w:highlight w:val="none"/>
          <w14:textFill>
            <w14:solidFill>
              <w14:schemeClr w14:val="tx1"/>
            </w14:solidFill>
          </w14:textFill>
        </w:rPr>
        <w:t>3.2详细评审</w:t>
      </w:r>
      <w:bookmarkEnd w:id="455"/>
      <w:bookmarkEnd w:id="456"/>
    </w:p>
    <w:p w14:paraId="37648859">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3.2.1</w:t>
      </w:r>
      <w:r>
        <w:rPr>
          <w:rFonts w:hint="eastAsia" w:hAnsi="宋体"/>
          <w:color w:val="000000" w:themeColor="text1"/>
          <w:sz w:val="24"/>
          <w:szCs w:val="24"/>
          <w:highlight w:val="none"/>
          <w14:textFill>
            <w14:solidFill>
              <w14:schemeClr w14:val="tx1"/>
            </w14:solidFill>
          </w14:textFill>
        </w:rPr>
        <w:t>评选委员会按照本章第2.2款规定的评审因素和量化标准进行评分，并计算出综合评估得分。</w:t>
      </w:r>
    </w:p>
    <w:p w14:paraId="26CF8285">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3.2.2评分分值计算原则上保留小数点后两位，小数点后第三位“四舍五入”。另有规定的，见评选办法前附表。</w:t>
      </w:r>
    </w:p>
    <w:p w14:paraId="01CEE709">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457" w:name="_Toc447265561"/>
      <w:bookmarkStart w:id="458" w:name="_Toc450489352"/>
      <w:bookmarkStart w:id="459" w:name="_Toc447265275"/>
      <w:bookmarkStart w:id="460" w:name="_Toc4662"/>
      <w:r>
        <w:rPr>
          <w:rFonts w:hint="eastAsia" w:ascii="宋体" w:hAnsi="宋体"/>
          <w:color w:val="000000" w:themeColor="text1"/>
          <w:sz w:val="24"/>
          <w:szCs w:val="24"/>
          <w:highlight w:val="none"/>
          <w14:textFill>
            <w14:solidFill>
              <w14:schemeClr w14:val="tx1"/>
            </w14:solidFill>
          </w14:textFill>
        </w:rPr>
        <w:t>3.3参选文件的澄清</w:t>
      </w:r>
      <w:bookmarkEnd w:id="457"/>
      <w:bookmarkEnd w:id="458"/>
      <w:bookmarkEnd w:id="459"/>
      <w:bookmarkEnd w:id="460"/>
    </w:p>
    <w:p w14:paraId="7981F904">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3.3.1在评选过程中，评选委员会应当以书面形式要求参选人对所递交的参选文件中不明确的内容进行书面澄清、说明或者对参选文件中的细微偏差进行补正。评选委员会不接受参选人主动提出的澄清、说明或者补正。</w:t>
      </w:r>
    </w:p>
    <w:p w14:paraId="0A3B09DE">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3.3.2细微偏差是指参选文件在实质上响应比选文件要求，但个别地方存在漏项或者提供了不完整的技术信息和数据等情况，并且补正这些遗漏或者不完整不会对其他参选人造成不公平的结果。细微偏差不影响参选文件的有效性。</w:t>
      </w:r>
    </w:p>
    <w:p w14:paraId="15F633FC">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3.3.3澄清、说明和补正不得改变参选文件的实质性内容（算术性错误修正的除外）。参选人的书面澄清、说明和补正属于参选文件的组成部分。</w:t>
      </w:r>
    </w:p>
    <w:p w14:paraId="21351614">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3.3.4评选委员会对参选人递交的澄清、说明或者补正有疑问的，可以要求参选人进一步澄清、说明或者补正，直至满足评选委员会的要求。</w:t>
      </w:r>
    </w:p>
    <w:p w14:paraId="0C9CB457">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3.3.5</w:t>
      </w:r>
      <w:r>
        <w:rPr>
          <w:rFonts w:hint="eastAsia" w:hAnsi="宋体"/>
          <w:color w:val="000000" w:themeColor="text1"/>
          <w:sz w:val="24"/>
          <w:szCs w:val="24"/>
          <w:highlight w:val="none"/>
          <w14:textFill>
            <w14:solidFill>
              <w14:schemeClr w14:val="tx1"/>
            </w14:solidFill>
          </w14:textFill>
        </w:rPr>
        <w:t>评选委员会必要时可以要求参选人递交有关证明和证件的原件，以便核验。</w:t>
      </w:r>
    </w:p>
    <w:p w14:paraId="72BF347C">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461" w:name="_Toc18385"/>
      <w:bookmarkStart w:id="462" w:name="_Toc450489353"/>
      <w:r>
        <w:rPr>
          <w:rFonts w:ascii="宋体" w:hAnsi="宋体"/>
          <w:color w:val="000000" w:themeColor="text1"/>
          <w:sz w:val="24"/>
          <w:szCs w:val="24"/>
          <w:highlight w:val="none"/>
          <w14:textFill>
            <w14:solidFill>
              <w14:schemeClr w14:val="tx1"/>
            </w14:solidFill>
          </w14:textFill>
        </w:rPr>
        <w:t>3.4</w:t>
      </w:r>
      <w:r>
        <w:rPr>
          <w:rFonts w:hint="eastAsia" w:ascii="宋体" w:hAnsi="宋体"/>
          <w:color w:val="000000" w:themeColor="text1"/>
          <w:sz w:val="24"/>
          <w:szCs w:val="24"/>
          <w:highlight w:val="none"/>
          <w14:textFill>
            <w14:solidFill>
              <w14:schemeClr w14:val="tx1"/>
            </w14:solidFill>
          </w14:textFill>
        </w:rPr>
        <w:t>中选候选人推荐原则</w:t>
      </w:r>
      <w:bookmarkEnd w:id="461"/>
      <w:bookmarkEnd w:id="462"/>
    </w:p>
    <w:p w14:paraId="2C4D72CF">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3.4.1评选委员会按照合作经营费报价由高到低的顺序推荐中选候选人。报价相同的，处理原则见评选办法前附表。</w:t>
      </w:r>
    </w:p>
    <w:p w14:paraId="323A291F">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3.4.2中选候选人推荐原则见评选办法前附表。</w:t>
      </w:r>
    </w:p>
    <w:p w14:paraId="7C484D65">
      <w:pPr>
        <w:pStyle w:val="35"/>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463" w:name="_Toc450489354"/>
      <w:bookmarkStart w:id="464" w:name="_Toc23819"/>
      <w:r>
        <w:rPr>
          <w:rFonts w:ascii="宋体" w:hAnsi="宋体"/>
          <w:color w:val="000000" w:themeColor="text1"/>
          <w:sz w:val="24"/>
          <w:szCs w:val="24"/>
          <w:highlight w:val="none"/>
          <w14:textFill>
            <w14:solidFill>
              <w14:schemeClr w14:val="tx1"/>
            </w14:solidFill>
          </w14:textFill>
        </w:rPr>
        <w:t>3.5</w:t>
      </w:r>
      <w:r>
        <w:rPr>
          <w:rFonts w:hint="eastAsia" w:ascii="宋体" w:hAnsi="宋体"/>
          <w:color w:val="000000" w:themeColor="text1"/>
          <w:sz w:val="24"/>
          <w:szCs w:val="24"/>
          <w:highlight w:val="none"/>
          <w14:textFill>
            <w14:solidFill>
              <w14:schemeClr w14:val="tx1"/>
            </w14:solidFill>
          </w14:textFill>
        </w:rPr>
        <w:t>评选结果</w:t>
      </w:r>
      <w:bookmarkEnd w:id="463"/>
      <w:bookmarkEnd w:id="464"/>
    </w:p>
    <w:p w14:paraId="7CCE124D">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3.5.1评选委员会完成评选后，应当向比选人递交书面评选报告。评选委员会分组评审的，应当形成统一、完整的评选报告。</w:t>
      </w:r>
    </w:p>
    <w:p w14:paraId="08A1027F">
      <w:pPr>
        <w:pStyle w:val="21"/>
        <w:tabs>
          <w:tab w:val="left" w:pos="630"/>
        </w:tabs>
        <w:snapToGrid w:val="0"/>
        <w:spacing w:line="440" w:lineRule="exact"/>
        <w:ind w:firstLine="484" w:firstLineChars="20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3.5.2评选报告应当包括下列内容：</w:t>
      </w:r>
    </w:p>
    <w:p w14:paraId="23E9729E">
      <w:pPr>
        <w:pStyle w:val="46"/>
        <w:numPr>
          <w:ilvl w:val="0"/>
          <w:numId w:val="12"/>
        </w:numPr>
        <w:tabs>
          <w:tab w:val="left" w:pos="993"/>
        </w:tabs>
        <w:adjustRightInd w:val="0"/>
        <w:snapToGrid w:val="0"/>
        <w:spacing w:line="440" w:lineRule="exact"/>
        <w:ind w:left="0"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评选概况（包括评选日程、评选方法和标准、评选委员会名单、唱价记录、参选一览表等评选基本情况）；</w:t>
      </w:r>
    </w:p>
    <w:p w14:paraId="4DDEDEE1">
      <w:pPr>
        <w:pStyle w:val="46"/>
        <w:numPr>
          <w:ilvl w:val="0"/>
          <w:numId w:val="12"/>
        </w:numPr>
        <w:tabs>
          <w:tab w:val="left" w:pos="993"/>
        </w:tabs>
        <w:adjustRightInd w:val="0"/>
        <w:snapToGrid w:val="0"/>
        <w:spacing w:line="440" w:lineRule="exact"/>
        <w:ind w:left="0"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资格审查结果及技术、服务、商务和价格比较；</w:t>
      </w:r>
    </w:p>
    <w:p w14:paraId="7A194283">
      <w:pPr>
        <w:pStyle w:val="46"/>
        <w:numPr>
          <w:ilvl w:val="0"/>
          <w:numId w:val="12"/>
        </w:numPr>
        <w:tabs>
          <w:tab w:val="left" w:pos="993"/>
        </w:tabs>
        <w:adjustRightInd w:val="0"/>
        <w:snapToGrid w:val="0"/>
        <w:spacing w:line="440" w:lineRule="exact"/>
        <w:ind w:left="0"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评选专家评分原始记录表和否决参选的情况说明；</w:t>
      </w:r>
    </w:p>
    <w:p w14:paraId="3619A78F">
      <w:pPr>
        <w:pStyle w:val="46"/>
        <w:numPr>
          <w:ilvl w:val="0"/>
          <w:numId w:val="12"/>
        </w:numPr>
        <w:tabs>
          <w:tab w:val="left" w:pos="993"/>
        </w:tabs>
        <w:adjustRightInd w:val="0"/>
        <w:snapToGrid w:val="0"/>
        <w:spacing w:line="440" w:lineRule="exact"/>
        <w:ind w:left="0"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参选人的排名顺序及推荐的中选候选人；</w:t>
      </w:r>
    </w:p>
    <w:p w14:paraId="113DD81E">
      <w:pPr>
        <w:pStyle w:val="46"/>
        <w:numPr>
          <w:ilvl w:val="0"/>
          <w:numId w:val="12"/>
        </w:numPr>
        <w:tabs>
          <w:tab w:val="left" w:pos="993"/>
        </w:tabs>
        <w:adjustRightInd w:val="0"/>
        <w:snapToGrid w:val="0"/>
        <w:spacing w:line="440" w:lineRule="exact"/>
        <w:ind w:left="0"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签订合同前要处理的事宜；</w:t>
      </w:r>
    </w:p>
    <w:p w14:paraId="0C98AF19">
      <w:pPr>
        <w:pStyle w:val="46"/>
        <w:numPr>
          <w:ilvl w:val="0"/>
          <w:numId w:val="12"/>
        </w:numPr>
        <w:tabs>
          <w:tab w:val="left" w:pos="993"/>
        </w:tabs>
        <w:adjustRightInd w:val="0"/>
        <w:snapToGrid w:val="0"/>
        <w:spacing w:line="440" w:lineRule="exact"/>
        <w:ind w:left="0"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其他重要情况说明（澄清、说明、否决参选的情况、补正事项纪要）；</w:t>
      </w:r>
    </w:p>
    <w:p w14:paraId="58820E66">
      <w:pPr>
        <w:pStyle w:val="46"/>
        <w:numPr>
          <w:ilvl w:val="0"/>
          <w:numId w:val="12"/>
        </w:numPr>
        <w:tabs>
          <w:tab w:val="left" w:pos="993"/>
        </w:tabs>
        <w:adjustRightInd w:val="0"/>
        <w:snapToGrid w:val="0"/>
        <w:spacing w:line="440" w:lineRule="exact"/>
        <w:ind w:left="0" w:firstLine="484" w:firstLineChars="202"/>
        <w:rPr>
          <w:rFonts w:hint="eastAsia" w:ascii="宋体" w:hAnsi="宋体" w:cs="宋体"/>
          <w:color w:val="000000" w:themeColor="text1"/>
          <w:sz w:val="2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cs="宋体"/>
          <w:color w:val="000000" w:themeColor="text1"/>
          <w:sz w:val="24"/>
          <w:highlight w:val="none"/>
          <w14:textFill>
            <w14:solidFill>
              <w14:schemeClr w14:val="tx1"/>
            </w14:solidFill>
          </w14:textFill>
        </w:rPr>
        <w:t xml:space="preserve">评选委员会成员名单及本人签字、拒绝在评选报告上签字的评选委员会成员名单及其陈述的不同意见和理由。 </w:t>
      </w:r>
    </w:p>
    <w:bookmarkEnd w:id="438"/>
    <w:bookmarkEnd w:id="439"/>
    <w:bookmarkEnd w:id="440"/>
    <w:bookmarkEnd w:id="441"/>
    <w:bookmarkEnd w:id="442"/>
    <w:p w14:paraId="106F415D">
      <w:pPr>
        <w:pStyle w:val="45"/>
        <w:numPr>
          <w:ilvl w:val="0"/>
          <w:numId w:val="13"/>
        </w:numPr>
        <w:spacing w:before="240" w:after="120"/>
        <w:rPr>
          <w:rFonts w:hint="eastAsia" w:ascii="宋体" w:hAnsi="宋体" w:eastAsia="宋体" w:cs="宋体"/>
          <w:b/>
          <w:bCs w:val="0"/>
          <w:color w:val="000000" w:themeColor="text1"/>
          <w:kern w:val="0"/>
          <w:sz w:val="24"/>
          <w:szCs w:val="24"/>
          <w:highlight w:val="none"/>
          <w14:textFill>
            <w14:solidFill>
              <w14:schemeClr w14:val="tx1"/>
            </w14:solidFill>
          </w14:textFill>
        </w:rPr>
      </w:pPr>
      <w:bookmarkStart w:id="465" w:name="_Toc475472623"/>
      <w:bookmarkStart w:id="466" w:name="_Toc25127"/>
      <w:bookmarkStart w:id="467" w:name="_Toc107822570"/>
      <w:bookmarkStart w:id="468" w:name="_Toc227057959"/>
      <w:bookmarkStart w:id="469" w:name="_Toc447265599"/>
      <w:bookmarkStart w:id="470" w:name="_Toc226969353"/>
      <w:bookmarkStart w:id="471" w:name="_Toc447265313"/>
      <w:bookmarkStart w:id="472" w:name="_Toc475472662"/>
      <w:bookmarkStart w:id="473" w:name="_Toc447265602"/>
      <w:bookmarkStart w:id="474" w:name="_Toc447265316"/>
      <w:bookmarkStart w:id="475" w:name="_Toc475472669"/>
      <w:r>
        <w:rPr>
          <w:rFonts w:hint="eastAsia" w:ascii="宋体" w:hAnsi="宋体" w:eastAsia="宋体" w:cs="宋体"/>
          <w:b/>
          <w:bCs w:val="0"/>
          <w:color w:val="000000" w:themeColor="text1"/>
          <w:kern w:val="0"/>
          <w:sz w:val="24"/>
          <w:szCs w:val="24"/>
          <w:highlight w:val="none"/>
          <w14:textFill>
            <w14:solidFill>
              <w14:schemeClr w14:val="tx1"/>
            </w14:solidFill>
          </w14:textFill>
        </w:rPr>
        <w:t>商务规范书</w:t>
      </w:r>
      <w:bookmarkEnd w:id="465"/>
      <w:r>
        <w:rPr>
          <w:rFonts w:hint="eastAsia" w:ascii="宋体" w:hAnsi="宋体" w:eastAsia="宋体" w:cs="宋体"/>
          <w:b/>
          <w:bCs w:val="0"/>
          <w:color w:val="000000" w:themeColor="text1"/>
          <w:kern w:val="0"/>
          <w:sz w:val="24"/>
          <w:szCs w:val="24"/>
          <w:highlight w:val="none"/>
          <w14:textFill>
            <w14:solidFill>
              <w14:schemeClr w14:val="tx1"/>
            </w14:solidFill>
          </w14:textFill>
        </w:rPr>
        <w:t>[即合同文本]</w:t>
      </w:r>
      <w:bookmarkEnd w:id="466"/>
    </w:p>
    <w:p w14:paraId="172B4C41">
      <w:pPr>
        <w:spacing w:line="360" w:lineRule="auto"/>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合同格式（参考合作项目合同）</w:t>
      </w:r>
    </w:p>
    <w:p w14:paraId="73190751">
      <w:pPr>
        <w:pStyle w:val="88"/>
        <w:ind w:firstLineChars="0"/>
        <w:rPr>
          <w:rFonts w:hint="eastAsia" w:ascii="宋体" w:hAnsi="宋体"/>
          <w:b/>
          <w:color w:val="000000" w:themeColor="text1"/>
          <w:szCs w:val="24"/>
          <w:highlight w:val="none"/>
          <w14:textFill>
            <w14:solidFill>
              <w14:schemeClr w14:val="tx1"/>
            </w14:solidFill>
          </w14:textFill>
        </w:rPr>
      </w:pPr>
    </w:p>
    <w:bookmarkEnd w:id="467"/>
    <w:bookmarkEnd w:id="468"/>
    <w:bookmarkEnd w:id="469"/>
    <w:bookmarkEnd w:id="470"/>
    <w:bookmarkEnd w:id="471"/>
    <w:p w14:paraId="223AA6FD">
      <w:pPr>
        <w:pStyle w:val="46"/>
        <w:widowControl/>
        <w:numPr>
          <w:ilvl w:val="0"/>
          <w:numId w:val="12"/>
        </w:numPr>
        <w:ind w:firstLineChars="0"/>
        <w:jc w:val="left"/>
        <w:rPr>
          <w:rFonts w:hint="eastAsia" w:ascii="宋体" w:hAnsi="宋体" w:cs="宋体"/>
          <w:b/>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br w:type="page"/>
      </w:r>
    </w:p>
    <w:p w14:paraId="3F24F56D">
      <w:pPr>
        <w:pStyle w:val="45"/>
        <w:spacing w:before="240" w:after="120"/>
        <w:rPr>
          <w:rFonts w:hint="eastAsia" w:ascii="宋体" w:hAnsi="宋体" w:eastAsia="宋体" w:cs="宋体"/>
          <w:b/>
          <w:bCs w:val="0"/>
          <w:color w:val="000000" w:themeColor="text1"/>
          <w:kern w:val="0"/>
          <w:sz w:val="24"/>
          <w:szCs w:val="24"/>
          <w:highlight w:val="none"/>
          <w14:textFill>
            <w14:solidFill>
              <w14:schemeClr w14:val="tx1"/>
            </w14:solidFill>
          </w14:textFill>
        </w:rPr>
      </w:pPr>
      <w:bookmarkStart w:id="476" w:name="_Toc4008"/>
      <w:r>
        <w:rPr>
          <w:rFonts w:hint="eastAsia" w:ascii="宋体" w:hAnsi="宋体" w:eastAsia="宋体" w:cs="宋体"/>
          <w:b/>
          <w:bCs w:val="0"/>
          <w:color w:val="000000" w:themeColor="text1"/>
          <w:kern w:val="0"/>
          <w:sz w:val="24"/>
          <w:szCs w:val="24"/>
          <w:highlight w:val="none"/>
          <w14:textFill>
            <w14:solidFill>
              <w14:schemeClr w14:val="tx1"/>
            </w14:solidFill>
          </w14:textFill>
        </w:rPr>
        <w:t>第五章 技术规范书</w:t>
      </w:r>
      <w:bookmarkEnd w:id="472"/>
      <w:bookmarkEnd w:id="476"/>
    </w:p>
    <w:p w14:paraId="07E83550">
      <w:pPr>
        <w:pStyle w:val="88"/>
        <w:ind w:firstLineChars="0"/>
        <w:rPr>
          <w:rFonts w:hint="eastAsia" w:ascii="宋体" w:hAnsi="宋体"/>
          <w:b/>
          <w:color w:val="000000" w:themeColor="text1"/>
          <w:szCs w:val="24"/>
          <w:highlight w:val="none"/>
          <w14:textFill>
            <w14:solidFill>
              <w14:schemeClr w14:val="tx1"/>
            </w14:solidFill>
          </w14:textFill>
        </w:rPr>
      </w:pPr>
    </w:p>
    <w:p w14:paraId="7251E1F3">
      <w:pPr>
        <w:pStyle w:val="88"/>
        <w:ind w:firstLineChars="0"/>
        <w:rPr>
          <w:rFonts w:hint="eastAsia" w:ascii="宋体" w:hAnsi="宋体"/>
          <w:b/>
          <w:color w:val="000000" w:themeColor="text1"/>
          <w:szCs w:val="2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b/>
          <w:color w:val="000000" w:themeColor="text1"/>
          <w:szCs w:val="24"/>
          <w:highlight w:val="none"/>
          <w14:textFill>
            <w14:solidFill>
              <w14:schemeClr w14:val="tx1"/>
            </w14:solidFill>
          </w14:textFill>
        </w:rPr>
        <w:t>本项目不涉及</w:t>
      </w:r>
    </w:p>
    <w:p w14:paraId="4A5627B4">
      <w:pPr>
        <w:pStyle w:val="45"/>
        <w:spacing w:before="240" w:after="120"/>
        <w:rPr>
          <w:rFonts w:hint="eastAsia" w:ascii="宋体" w:hAnsi="宋体" w:eastAsia="宋体" w:cs="宋体"/>
          <w:b/>
          <w:bCs w:val="0"/>
          <w:color w:val="000000" w:themeColor="text1"/>
          <w:kern w:val="0"/>
          <w:sz w:val="24"/>
          <w:szCs w:val="24"/>
          <w:highlight w:val="none"/>
          <w14:textFill>
            <w14:solidFill>
              <w14:schemeClr w14:val="tx1"/>
            </w14:solidFill>
          </w14:textFill>
        </w:rPr>
      </w:pPr>
      <w:bookmarkStart w:id="477" w:name="_Toc28439"/>
      <w:r>
        <w:rPr>
          <w:rFonts w:hint="eastAsia" w:ascii="宋体" w:hAnsi="宋体" w:eastAsia="宋体" w:cs="宋体"/>
          <w:b/>
          <w:bCs w:val="0"/>
          <w:color w:val="000000" w:themeColor="text1"/>
          <w:kern w:val="0"/>
          <w:sz w:val="24"/>
          <w:szCs w:val="24"/>
          <w:highlight w:val="none"/>
          <w14:textFill>
            <w14:solidFill>
              <w14:schemeClr w14:val="tx1"/>
            </w14:solidFill>
          </w14:textFill>
        </w:rPr>
        <w:t>第六章  参选文件格式</w:t>
      </w:r>
      <w:bookmarkEnd w:id="473"/>
      <w:bookmarkEnd w:id="474"/>
      <w:bookmarkEnd w:id="475"/>
      <w:bookmarkEnd w:id="477"/>
    </w:p>
    <w:p w14:paraId="663E0B1E">
      <w:pPr>
        <w:pStyle w:val="46"/>
        <w:numPr>
          <w:ilvl w:val="0"/>
          <w:numId w:val="14"/>
        </w:numPr>
        <w:tabs>
          <w:tab w:val="left" w:pos="567"/>
        </w:tabs>
        <w:adjustRightInd w:val="0"/>
        <w:snapToGrid w:val="0"/>
        <w:spacing w:line="440" w:lineRule="exact"/>
        <w:ind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参选文件封面</w:t>
      </w:r>
    </w:p>
    <w:p w14:paraId="753D58DC">
      <w:pPr>
        <w:pStyle w:val="46"/>
        <w:numPr>
          <w:ilvl w:val="0"/>
          <w:numId w:val="14"/>
        </w:numPr>
        <w:tabs>
          <w:tab w:val="left" w:pos="567"/>
        </w:tabs>
        <w:adjustRightInd w:val="0"/>
        <w:snapToGrid w:val="0"/>
        <w:spacing w:line="440" w:lineRule="exact"/>
        <w:ind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参选函</w:t>
      </w:r>
    </w:p>
    <w:p w14:paraId="4D86DD64">
      <w:pPr>
        <w:pStyle w:val="46"/>
        <w:numPr>
          <w:ilvl w:val="0"/>
          <w:numId w:val="14"/>
        </w:numPr>
        <w:tabs>
          <w:tab w:val="left" w:pos="567"/>
        </w:tabs>
        <w:adjustRightInd w:val="0"/>
        <w:snapToGrid w:val="0"/>
        <w:spacing w:line="440" w:lineRule="exact"/>
        <w:ind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法定代表人/负责人身份证明</w:t>
      </w:r>
    </w:p>
    <w:p w14:paraId="49E82DB4">
      <w:pPr>
        <w:pStyle w:val="46"/>
        <w:numPr>
          <w:ilvl w:val="0"/>
          <w:numId w:val="14"/>
        </w:numPr>
        <w:tabs>
          <w:tab w:val="left" w:pos="567"/>
        </w:tabs>
        <w:adjustRightInd w:val="0"/>
        <w:snapToGrid w:val="0"/>
        <w:spacing w:line="440" w:lineRule="exact"/>
        <w:ind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法定代表人/负责人授权委托书</w:t>
      </w:r>
    </w:p>
    <w:p w14:paraId="6B2E2D34">
      <w:pPr>
        <w:pStyle w:val="46"/>
        <w:numPr>
          <w:ilvl w:val="0"/>
          <w:numId w:val="14"/>
        </w:numPr>
        <w:tabs>
          <w:tab w:val="left" w:pos="567"/>
        </w:tabs>
        <w:adjustRightInd w:val="0"/>
        <w:snapToGrid w:val="0"/>
        <w:spacing w:line="440" w:lineRule="exact"/>
        <w:ind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要求参选人提供的其他文件</w:t>
      </w:r>
    </w:p>
    <w:p w14:paraId="6589036C">
      <w:pPr>
        <w:pStyle w:val="46"/>
        <w:numPr>
          <w:ilvl w:val="0"/>
          <w:numId w:val="14"/>
        </w:numPr>
        <w:tabs>
          <w:tab w:val="left" w:pos="567"/>
        </w:tabs>
        <w:adjustRightInd w:val="0"/>
        <w:snapToGrid w:val="0"/>
        <w:spacing w:line="440" w:lineRule="exact"/>
        <w:ind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参选一览表</w:t>
      </w:r>
    </w:p>
    <w:p w14:paraId="545536DA">
      <w:pPr>
        <w:pStyle w:val="46"/>
        <w:numPr>
          <w:ilvl w:val="0"/>
          <w:numId w:val="14"/>
        </w:numPr>
        <w:tabs>
          <w:tab w:val="left" w:pos="567"/>
        </w:tabs>
        <w:adjustRightInd w:val="0"/>
        <w:snapToGrid w:val="0"/>
        <w:spacing w:line="440" w:lineRule="exact"/>
        <w:ind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技术部分</w:t>
      </w:r>
    </w:p>
    <w:p w14:paraId="64262342">
      <w:pPr>
        <w:pStyle w:val="46"/>
        <w:numPr>
          <w:ilvl w:val="0"/>
          <w:numId w:val="14"/>
        </w:numPr>
        <w:tabs>
          <w:tab w:val="left" w:pos="567"/>
        </w:tabs>
        <w:adjustRightInd w:val="0"/>
        <w:snapToGrid w:val="0"/>
        <w:spacing w:line="440" w:lineRule="exact"/>
        <w:ind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商务部分</w:t>
      </w:r>
    </w:p>
    <w:p w14:paraId="2623818E">
      <w:pPr>
        <w:rPr>
          <w:rFonts w:hint="eastAsia" w:ascii="宋体" w:hAnsi="宋体"/>
          <w:color w:val="000000" w:themeColor="text1"/>
          <w:sz w:val="24"/>
          <w:highlight w:val="none"/>
          <w14:textFill>
            <w14:solidFill>
              <w14:schemeClr w14:val="tx1"/>
            </w14:solidFill>
          </w14:textFill>
        </w:rPr>
      </w:pPr>
      <w:bookmarkStart w:id="478" w:name="_Toc475472670"/>
      <w:r>
        <w:rPr>
          <w:rFonts w:hint="eastAsia" w:ascii="宋体" w:hAnsi="宋体"/>
          <w:color w:val="000000" w:themeColor="text1"/>
          <w:sz w:val="24"/>
          <w:highlight w:val="none"/>
          <w14:textFill>
            <w14:solidFill>
              <w14:schemeClr w14:val="tx1"/>
            </w14:solidFill>
          </w14:textFill>
        </w:rPr>
        <w:br w:type="page"/>
      </w:r>
    </w:p>
    <w:p w14:paraId="3B2DF19D">
      <w:pPr>
        <w:pStyle w:val="35"/>
        <w:numPr>
          <w:ilvl w:val="0"/>
          <w:numId w:val="15"/>
        </w:numPr>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479" w:name="_Toc32164"/>
      <w:r>
        <w:rPr>
          <w:rFonts w:hint="eastAsia" w:ascii="宋体" w:hAnsi="宋体"/>
          <w:color w:val="000000" w:themeColor="text1"/>
          <w:sz w:val="24"/>
          <w:szCs w:val="24"/>
          <w:highlight w:val="none"/>
          <w14:textFill>
            <w14:solidFill>
              <w14:schemeClr w14:val="tx1"/>
            </w14:solidFill>
          </w14:textFill>
        </w:rPr>
        <w:t>参选文件封面</w:t>
      </w:r>
      <w:bookmarkEnd w:id="478"/>
      <w:bookmarkEnd w:id="479"/>
    </w:p>
    <w:p w14:paraId="6C9AE362">
      <w:pPr>
        <w:spacing w:after="120" w:line="360" w:lineRule="atLeast"/>
        <w:jc w:val="center"/>
        <w:rPr>
          <w:rFonts w:hint="eastAsia" w:ascii="宋体" w:hAnsi="宋体" w:cs="宋体"/>
          <w:color w:val="000000" w:themeColor="text1"/>
          <w:sz w:val="24"/>
          <w:highlight w:val="none"/>
          <w:u w:val="single"/>
          <w14:textFill>
            <w14:solidFill>
              <w14:schemeClr w14:val="tx1"/>
            </w14:solidFill>
          </w14:textFill>
        </w:rPr>
      </w:pPr>
    </w:p>
    <w:p w14:paraId="0D120E28">
      <w:pPr>
        <w:spacing w:after="120" w:line="360" w:lineRule="atLeast"/>
        <w:jc w:val="center"/>
        <w:rPr>
          <w:rFonts w:hint="eastAsia" w:ascii="宋体" w:hAnsi="宋体" w:cs="宋体"/>
          <w:color w:val="000000" w:themeColor="text1"/>
          <w:sz w:val="24"/>
          <w:highlight w:val="none"/>
          <w:u w:val="single"/>
          <w14:textFill>
            <w14:solidFill>
              <w14:schemeClr w14:val="tx1"/>
            </w14:solidFill>
          </w14:textFill>
        </w:rPr>
      </w:pPr>
    </w:p>
    <w:p w14:paraId="08B5C936">
      <w:pPr>
        <w:spacing w:after="120" w:line="360" w:lineRule="atLeas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重庆自然博物馆室外停车场合作经营项目</w:t>
      </w:r>
      <w:r>
        <w:rPr>
          <w:rFonts w:hint="eastAsia" w:ascii="宋体" w:hAnsi="宋体"/>
          <w:color w:val="000000" w:themeColor="text1"/>
          <w:sz w:val="24"/>
          <w:highlight w:val="none"/>
          <w14:textFill>
            <w14:solidFill>
              <w14:schemeClr w14:val="tx1"/>
            </w14:solidFill>
          </w14:textFill>
        </w:rPr>
        <w:t>（项目名称）</w:t>
      </w:r>
    </w:p>
    <w:p w14:paraId="40F4C454">
      <w:pPr>
        <w:spacing w:after="120" w:line="360" w:lineRule="atLeas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比选</w:t>
      </w:r>
    </w:p>
    <w:p w14:paraId="091CAEB3">
      <w:pPr>
        <w:jc w:val="center"/>
        <w:rPr>
          <w:rFonts w:hint="eastAsia" w:ascii="宋体" w:hAnsi="宋体" w:cs="宋体"/>
          <w:color w:val="000000" w:themeColor="text1"/>
          <w:sz w:val="24"/>
          <w:highlight w:val="none"/>
          <w14:textFill>
            <w14:solidFill>
              <w14:schemeClr w14:val="tx1"/>
            </w14:solidFill>
          </w14:textFill>
        </w:rPr>
      </w:pPr>
    </w:p>
    <w:p w14:paraId="2C66B6E3">
      <w:pPr>
        <w:jc w:val="center"/>
        <w:rPr>
          <w:rFonts w:hint="eastAsia" w:ascii="宋体" w:hAnsi="宋体" w:cs="宋体"/>
          <w:color w:val="000000" w:themeColor="text1"/>
          <w:sz w:val="24"/>
          <w:highlight w:val="none"/>
          <w14:textFill>
            <w14:solidFill>
              <w14:schemeClr w14:val="tx1"/>
            </w14:solidFill>
          </w14:textFill>
        </w:rPr>
      </w:pPr>
    </w:p>
    <w:p w14:paraId="7B82DC3B">
      <w:pPr>
        <w:jc w:val="center"/>
        <w:rPr>
          <w:rFonts w:hint="eastAsia" w:ascii="宋体" w:hAnsi="宋体" w:cs="宋体"/>
          <w:color w:val="000000" w:themeColor="text1"/>
          <w:sz w:val="24"/>
          <w:highlight w:val="none"/>
          <w14:textFill>
            <w14:solidFill>
              <w14:schemeClr w14:val="tx1"/>
            </w14:solidFill>
          </w14:textFill>
        </w:rPr>
      </w:pPr>
    </w:p>
    <w:p w14:paraId="6647C55B">
      <w:pPr>
        <w:jc w:val="center"/>
        <w:rPr>
          <w:rFonts w:hint="eastAsia" w:ascii="宋体" w:hAnsi="宋体" w:cs="宋体"/>
          <w:color w:val="000000" w:themeColor="text1"/>
          <w:sz w:val="24"/>
          <w:highlight w:val="none"/>
          <w14:textFill>
            <w14:solidFill>
              <w14:schemeClr w14:val="tx1"/>
            </w14:solidFill>
          </w14:textFill>
        </w:rPr>
      </w:pPr>
    </w:p>
    <w:p w14:paraId="6A6B330F">
      <w:pPr>
        <w:spacing w:after="120"/>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参选文件</w:t>
      </w:r>
    </w:p>
    <w:p w14:paraId="2D92C215">
      <w:pPr>
        <w:spacing w:after="120"/>
        <w:jc w:val="center"/>
        <w:rPr>
          <w:rFonts w:hint="eastAsia" w:ascii="宋体" w:hAnsi="宋体" w:cs="宋体"/>
          <w:b/>
          <w:color w:val="000000" w:themeColor="text1"/>
          <w:sz w:val="24"/>
          <w:highlight w:val="none"/>
          <w14:textFill>
            <w14:solidFill>
              <w14:schemeClr w14:val="tx1"/>
            </w14:solidFill>
          </w14:textFill>
        </w:rPr>
      </w:pPr>
    </w:p>
    <w:p w14:paraId="722C6E3A">
      <w:pPr>
        <w:spacing w:after="120"/>
        <w:jc w:val="center"/>
        <w:rPr>
          <w:rFonts w:hint="eastAsia" w:ascii="宋体" w:hAnsi="宋体" w:cs="宋体"/>
          <w:b/>
          <w:color w:val="000000" w:themeColor="text1"/>
          <w:sz w:val="24"/>
          <w:highlight w:val="none"/>
          <w14:textFill>
            <w14:solidFill>
              <w14:schemeClr w14:val="tx1"/>
            </w14:solidFill>
          </w14:textFill>
        </w:rPr>
      </w:pPr>
    </w:p>
    <w:p w14:paraId="2D8D95AA">
      <w:pPr>
        <w:spacing w:after="120"/>
        <w:jc w:val="center"/>
        <w:rPr>
          <w:rFonts w:hint="eastAsia" w:ascii="宋体" w:hAnsi="宋体" w:cs="宋体"/>
          <w:b/>
          <w:color w:val="000000" w:themeColor="text1"/>
          <w:sz w:val="24"/>
          <w:highlight w:val="none"/>
          <w14:textFill>
            <w14:solidFill>
              <w14:schemeClr w14:val="tx1"/>
            </w14:solidFill>
          </w14:textFill>
        </w:rPr>
      </w:pPr>
    </w:p>
    <w:p w14:paraId="2BB3787F">
      <w:pPr>
        <w:spacing w:after="120"/>
        <w:jc w:val="center"/>
        <w:rPr>
          <w:rFonts w:hint="eastAsia" w:ascii="宋体" w:hAnsi="宋体" w:cs="宋体"/>
          <w:b/>
          <w:color w:val="000000" w:themeColor="text1"/>
          <w:sz w:val="24"/>
          <w:highlight w:val="none"/>
          <w14:textFill>
            <w14:solidFill>
              <w14:schemeClr w14:val="tx1"/>
            </w14:solidFill>
          </w14:textFill>
        </w:rPr>
      </w:pPr>
    </w:p>
    <w:p w14:paraId="1F225C88">
      <w:pPr>
        <w:spacing w:after="120"/>
        <w:jc w:val="center"/>
        <w:rPr>
          <w:rFonts w:hint="eastAsia" w:ascii="宋体" w:hAnsi="宋体" w:cs="宋体"/>
          <w:b/>
          <w:color w:val="000000" w:themeColor="text1"/>
          <w:sz w:val="24"/>
          <w:highlight w:val="none"/>
          <w14:textFill>
            <w14:solidFill>
              <w14:schemeClr w14:val="tx1"/>
            </w14:solidFill>
          </w14:textFill>
        </w:rPr>
      </w:pPr>
    </w:p>
    <w:p w14:paraId="04449052">
      <w:pPr>
        <w:spacing w:after="120"/>
        <w:jc w:val="center"/>
        <w:rPr>
          <w:rFonts w:hint="eastAsia" w:ascii="宋体" w:hAnsi="宋体" w:cs="宋体"/>
          <w:b/>
          <w:color w:val="000000" w:themeColor="text1"/>
          <w:sz w:val="24"/>
          <w:highlight w:val="none"/>
          <w14:textFill>
            <w14:solidFill>
              <w14:schemeClr w14:val="tx1"/>
            </w14:solidFill>
          </w14:textFill>
        </w:rPr>
      </w:pPr>
    </w:p>
    <w:p w14:paraId="55615522">
      <w:pPr>
        <w:spacing w:line="440" w:lineRule="exact"/>
        <w:ind w:firstLine="566" w:firstLineChars="23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参选人名称：</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（盖单位公章）</w:t>
      </w:r>
    </w:p>
    <w:p w14:paraId="120BCDCD">
      <w:pPr>
        <w:spacing w:line="440" w:lineRule="exact"/>
        <w:ind w:firstLine="566" w:firstLineChars="236"/>
        <w:rPr>
          <w:rFonts w:hint="eastAsia" w:ascii="宋体" w:hAnsi="宋体"/>
          <w:color w:val="000000" w:themeColor="text1"/>
          <w:sz w:val="24"/>
          <w:highlight w:val="none"/>
          <w14:textFill>
            <w14:solidFill>
              <w14:schemeClr w14:val="tx1"/>
            </w14:solidFill>
          </w14:textFill>
        </w:rPr>
      </w:pPr>
    </w:p>
    <w:p w14:paraId="69E2D9C8">
      <w:pPr>
        <w:spacing w:line="440" w:lineRule="exact"/>
        <w:ind w:firstLine="566" w:firstLineChars="23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法定代表人/负责人（签字或盖章）</w:t>
      </w:r>
      <w:r>
        <w:rPr>
          <w:rFonts w:ascii="宋体" w:hAnsi="宋体"/>
          <w:color w:val="000000" w:themeColor="text1"/>
          <w:sz w:val="24"/>
          <w:highlight w:val="none"/>
          <w14:textFill>
            <w14:solidFill>
              <w14:schemeClr w14:val="tx1"/>
            </w14:solidFill>
          </w14:textFill>
        </w:rPr>
        <w:t>或者其委托代理人</w:t>
      </w:r>
      <w:r>
        <w:rPr>
          <w:rFonts w:hint="eastAsia" w:ascii="宋体" w:hAnsi="宋体"/>
          <w:color w:val="000000" w:themeColor="text1"/>
          <w:sz w:val="24"/>
          <w:highlight w:val="none"/>
          <w14:textFill>
            <w14:solidFill>
              <w14:schemeClr w14:val="tx1"/>
            </w14:solidFill>
          </w14:textFill>
        </w:rPr>
        <w:t>（签字）</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3EC9C338">
      <w:pPr>
        <w:adjustRightInd w:val="0"/>
        <w:snapToGrid w:val="0"/>
        <w:spacing w:after="120" w:line="440" w:lineRule="exact"/>
        <w:ind w:firstLine="1200" w:firstLineChars="500"/>
        <w:jc w:val="left"/>
        <w:rPr>
          <w:rFonts w:hint="eastAsia" w:ascii="宋体" w:hAnsi="宋体" w:cs="宋体"/>
          <w:color w:val="000000" w:themeColor="text1"/>
          <w:sz w:val="24"/>
          <w:highlight w:val="none"/>
          <w14:textFill>
            <w14:solidFill>
              <w14:schemeClr w14:val="tx1"/>
            </w14:solidFill>
          </w14:textFill>
        </w:rPr>
      </w:pPr>
    </w:p>
    <w:p w14:paraId="5D5314F5">
      <w:pPr>
        <w:adjustRightInd w:val="0"/>
        <w:snapToGrid w:val="0"/>
        <w:spacing w:line="440" w:lineRule="exact"/>
        <w:jc w:val="center"/>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 xml:space="preserve">_    __ </w:t>
      </w:r>
      <w:r>
        <w:rPr>
          <w:rFonts w:hint="eastAsia" w:ascii="宋体" w:hAnsi="宋体" w:cs="宋体"/>
          <w:color w:val="000000" w:themeColor="text1"/>
          <w:sz w:val="24"/>
          <w:highlight w:val="none"/>
          <w14:textFill>
            <w14:solidFill>
              <w14:schemeClr w14:val="tx1"/>
            </w14:solidFill>
          </w14:textFill>
        </w:rPr>
        <w:t>年</w:t>
      </w:r>
      <w:r>
        <w:rPr>
          <w:rFonts w:ascii="宋体" w:hAnsi="宋体" w:cs="宋体"/>
          <w:color w:val="000000" w:themeColor="text1"/>
          <w:sz w:val="24"/>
          <w:highlight w:val="none"/>
          <w:u w:val="single"/>
          <w14:textFill>
            <w14:solidFill>
              <w14:schemeClr w14:val="tx1"/>
            </w14:solidFill>
          </w14:textFill>
        </w:rPr>
        <w:t>_    __</w:t>
      </w:r>
      <w:r>
        <w:rPr>
          <w:rFonts w:hint="eastAsia" w:ascii="宋体" w:hAnsi="宋体" w:cs="宋体"/>
          <w:color w:val="000000" w:themeColor="text1"/>
          <w:sz w:val="24"/>
          <w:highlight w:val="none"/>
          <w14:textFill>
            <w14:solidFill>
              <w14:schemeClr w14:val="tx1"/>
            </w14:solidFill>
          </w14:textFill>
        </w:rPr>
        <w:t>月</w:t>
      </w:r>
      <w:r>
        <w:rPr>
          <w:rFonts w:ascii="宋体" w:hAnsi="宋体" w:cs="宋体"/>
          <w:color w:val="000000" w:themeColor="text1"/>
          <w:sz w:val="24"/>
          <w:highlight w:val="none"/>
          <w:u w:val="single"/>
          <w14:textFill>
            <w14:solidFill>
              <w14:schemeClr w14:val="tx1"/>
            </w14:solidFill>
          </w14:textFill>
        </w:rPr>
        <w:t>_    __</w:t>
      </w:r>
      <w:r>
        <w:rPr>
          <w:rFonts w:hint="eastAsia" w:ascii="宋体" w:hAnsi="宋体" w:cs="宋体"/>
          <w:color w:val="000000" w:themeColor="text1"/>
          <w:sz w:val="24"/>
          <w:highlight w:val="none"/>
          <w14:textFill>
            <w14:solidFill>
              <w14:schemeClr w14:val="tx1"/>
            </w14:solidFill>
          </w14:textFill>
        </w:rPr>
        <w:t>日</w:t>
      </w:r>
    </w:p>
    <w:p w14:paraId="5757DE22">
      <w:pPr>
        <w:pStyle w:val="45"/>
        <w:adjustRightInd w:val="0"/>
        <w:snapToGrid w:val="0"/>
        <w:spacing w:before="240" w:after="120" w:line="440" w:lineRule="exact"/>
        <w:rPr>
          <w:rFonts w:hint="eastAsia" w:ascii="宋体" w:hAnsi="宋体" w:eastAsia="宋体" w:cs="宋体"/>
          <w:b/>
          <w:bCs w:val="0"/>
          <w:color w:val="000000" w:themeColor="text1"/>
          <w:kern w:val="0"/>
          <w:sz w:val="24"/>
          <w:szCs w:val="2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0F1A41A">
      <w:pPr>
        <w:pStyle w:val="35"/>
        <w:numPr>
          <w:ilvl w:val="0"/>
          <w:numId w:val="15"/>
        </w:numPr>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480" w:name="_Toc23899"/>
      <w:bookmarkStart w:id="481" w:name="_Toc475472672"/>
      <w:bookmarkStart w:id="482" w:name="_Toc438052120"/>
      <w:r>
        <w:rPr>
          <w:rFonts w:hint="eastAsia" w:ascii="宋体" w:hAnsi="宋体"/>
          <w:color w:val="000000" w:themeColor="text1"/>
          <w:sz w:val="24"/>
          <w:szCs w:val="24"/>
          <w:highlight w:val="none"/>
          <w14:textFill>
            <w14:solidFill>
              <w14:schemeClr w14:val="tx1"/>
            </w14:solidFill>
          </w14:textFill>
        </w:rPr>
        <w:t>参选函</w:t>
      </w:r>
      <w:bookmarkEnd w:id="480"/>
      <w:bookmarkEnd w:id="481"/>
      <w:bookmarkEnd w:id="482"/>
    </w:p>
    <w:p w14:paraId="31316CE9">
      <w:pPr>
        <w:pStyle w:val="46"/>
        <w:ind w:firstLine="0" w:firstLineChars="0"/>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参  选  函</w:t>
      </w:r>
    </w:p>
    <w:p w14:paraId="502BFCF6">
      <w:pPr>
        <w:adjustRightInd w:val="0"/>
        <w:snapToGrid w:val="0"/>
        <w:spacing w:line="44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重庆自然博物馆</w:t>
      </w:r>
      <w:r>
        <w:rPr>
          <w:rFonts w:hint="eastAsia" w:ascii="宋体" w:hAnsi="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w:t>
      </w:r>
    </w:p>
    <w:p w14:paraId="42944CCC">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（参选人名称）</w:t>
      </w:r>
      <w:r>
        <w:rPr>
          <w:rFonts w:hint="eastAsia" w:ascii="宋体" w:hAnsi="宋体"/>
          <w:color w:val="000000" w:themeColor="text1"/>
          <w:sz w:val="24"/>
          <w:highlight w:val="none"/>
          <w14:textFill>
            <w14:solidFill>
              <w14:schemeClr w14:val="tx1"/>
            </w14:solidFill>
          </w14:textFill>
        </w:rPr>
        <w:t>（以下称“我方”）</w:t>
      </w:r>
      <w:r>
        <w:rPr>
          <w:rFonts w:ascii="宋体" w:hAnsi="宋体"/>
          <w:color w:val="000000" w:themeColor="text1"/>
          <w:sz w:val="24"/>
          <w:highlight w:val="none"/>
          <w14:textFill>
            <w14:solidFill>
              <w14:schemeClr w14:val="tx1"/>
            </w14:solidFill>
          </w14:textFill>
        </w:rPr>
        <w:t>已仔细研究了</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重庆自然博物馆室外停车场合作经营项目（</w:t>
      </w:r>
      <w:r>
        <w:rPr>
          <w:rFonts w:hint="eastAsia" w:ascii="宋体" w:hAnsi="宋体"/>
          <w:color w:val="000000" w:themeColor="text1"/>
          <w:sz w:val="24"/>
          <w:highlight w:val="none"/>
          <w14:textFill>
            <w14:solidFill>
              <w14:schemeClr w14:val="tx1"/>
            </w14:solidFill>
          </w14:textFill>
        </w:rPr>
        <w:t>比选项目名称）</w:t>
      </w:r>
      <w:r>
        <w:rPr>
          <w:rFonts w:ascii="宋体" w:hAnsi="宋体"/>
          <w:color w:val="000000" w:themeColor="text1"/>
          <w:sz w:val="24"/>
          <w:highlight w:val="none"/>
          <w14:textFill>
            <w14:solidFill>
              <w14:schemeClr w14:val="tx1"/>
            </w14:solidFill>
          </w14:textFill>
        </w:rPr>
        <w:t>比选文件的全部内容</w:t>
      </w:r>
      <w:r>
        <w:rPr>
          <w:rFonts w:hint="eastAsia" w:ascii="宋体" w:hAnsi="宋体"/>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包括</w:t>
      </w:r>
      <w:r>
        <w:rPr>
          <w:rFonts w:hint="eastAsia" w:ascii="宋体" w:hAnsi="宋体"/>
          <w:bCs/>
          <w:color w:val="000000" w:themeColor="text1"/>
          <w:sz w:val="24"/>
          <w:highlight w:val="none"/>
          <w14:textFill>
            <w14:solidFill>
              <w14:schemeClr w14:val="tx1"/>
            </w14:solidFill>
          </w14:textFill>
        </w:rPr>
        <w:t>澄清或者</w:t>
      </w:r>
      <w:r>
        <w:rPr>
          <w:rFonts w:ascii="宋体" w:hAnsi="宋体"/>
          <w:bCs/>
          <w:color w:val="000000" w:themeColor="text1"/>
          <w:sz w:val="24"/>
          <w:highlight w:val="none"/>
          <w14:textFill>
            <w14:solidFill>
              <w14:schemeClr w14:val="tx1"/>
            </w14:solidFill>
          </w14:textFill>
        </w:rPr>
        <w:t>修改文件</w:t>
      </w:r>
      <w:r>
        <w:rPr>
          <w:rFonts w:hint="eastAsia" w:ascii="宋体" w:hAnsi="宋体"/>
          <w:bCs/>
          <w:color w:val="000000" w:themeColor="text1"/>
          <w:sz w:val="24"/>
          <w:highlight w:val="none"/>
          <w14:textFill>
            <w14:solidFill>
              <w14:schemeClr w14:val="tx1"/>
            </w14:solidFill>
          </w14:textFill>
        </w:rPr>
        <w:t>以及</w:t>
      </w:r>
      <w:r>
        <w:rPr>
          <w:rFonts w:ascii="宋体" w:hAnsi="宋体"/>
          <w:bCs/>
          <w:color w:val="000000" w:themeColor="text1"/>
          <w:sz w:val="24"/>
          <w:highlight w:val="none"/>
          <w14:textFill>
            <w14:solidFill>
              <w14:schemeClr w14:val="tx1"/>
            </w14:solidFill>
          </w14:textFill>
        </w:rPr>
        <w:t>有关附件</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我方将严格按照比选文件要求递交符合要求的全部参选文件。</w:t>
      </w:r>
    </w:p>
    <w:p w14:paraId="4E53095F">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我方承诺如下内容：</w:t>
      </w:r>
    </w:p>
    <w:p w14:paraId="629B647D">
      <w:pPr>
        <w:pStyle w:val="46"/>
        <w:numPr>
          <w:ilvl w:val="3"/>
          <w:numId w:val="16"/>
        </w:numPr>
        <w:tabs>
          <w:tab w:val="left" w:pos="709"/>
        </w:tabs>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我方的参选文件包含第二章“参选人须知”第3.1款规定的全部内容。我方完全响应本次比选文件的所有内容。</w:t>
      </w:r>
    </w:p>
    <w:p w14:paraId="7E6B0D96">
      <w:pPr>
        <w:pStyle w:val="46"/>
        <w:numPr>
          <w:ilvl w:val="3"/>
          <w:numId w:val="16"/>
        </w:numPr>
        <w:tabs>
          <w:tab w:val="left" w:pos="709"/>
        </w:tabs>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我方承诺在</w:t>
      </w:r>
      <w:r>
        <w:rPr>
          <w:rFonts w:hint="eastAsia" w:ascii="宋体" w:hAnsi="宋体"/>
          <w:color w:val="000000" w:themeColor="text1"/>
          <w:sz w:val="24"/>
          <w:highlight w:val="none"/>
          <w14:textFill>
            <w14:solidFill>
              <w14:schemeClr w14:val="tx1"/>
            </w14:solidFill>
          </w14:textFill>
        </w:rPr>
        <w:t>比选文件规定的</w:t>
      </w:r>
      <w:r>
        <w:rPr>
          <w:rFonts w:ascii="宋体" w:hAnsi="宋体"/>
          <w:color w:val="000000" w:themeColor="text1"/>
          <w:sz w:val="24"/>
          <w:highlight w:val="none"/>
          <w14:textFill>
            <w14:solidFill>
              <w14:schemeClr w14:val="tx1"/>
            </w14:solidFill>
          </w14:textFill>
        </w:rPr>
        <w:t>参选有效期内不修改、撤销参选文件。</w:t>
      </w:r>
    </w:p>
    <w:p w14:paraId="6BF52F32">
      <w:pPr>
        <w:pStyle w:val="46"/>
        <w:numPr>
          <w:ilvl w:val="3"/>
          <w:numId w:val="16"/>
        </w:numPr>
        <w:tabs>
          <w:tab w:val="left" w:pos="709"/>
        </w:tabs>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我方承诺如果在规定的唱价时间后，在参选有效期内撤回参选文件，参选保证金将被贵方没收。</w:t>
      </w:r>
    </w:p>
    <w:p w14:paraId="38208D2C">
      <w:pPr>
        <w:pStyle w:val="46"/>
        <w:numPr>
          <w:ilvl w:val="3"/>
          <w:numId w:val="16"/>
        </w:numPr>
        <w:tabs>
          <w:tab w:val="left" w:pos="709"/>
        </w:tabs>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我方在评选过程中根据评选委员会要求提供的符合相关规定的澄清文件，构成参选文件的组成部分。</w:t>
      </w:r>
    </w:p>
    <w:p w14:paraId="53D49C23">
      <w:pPr>
        <w:pStyle w:val="46"/>
        <w:numPr>
          <w:ilvl w:val="3"/>
          <w:numId w:val="16"/>
        </w:numPr>
        <w:tabs>
          <w:tab w:val="left" w:pos="709"/>
        </w:tabs>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我方同意提供贵方可能要求的与参选有关的一切数据或者资料。</w:t>
      </w:r>
    </w:p>
    <w:p w14:paraId="1E76CBAD">
      <w:pPr>
        <w:pStyle w:val="46"/>
        <w:numPr>
          <w:ilvl w:val="3"/>
          <w:numId w:val="16"/>
        </w:numPr>
        <w:tabs>
          <w:tab w:val="left" w:pos="709"/>
        </w:tabs>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我方承诺不向第三方透露与比选相关的所有信息。</w:t>
      </w:r>
    </w:p>
    <w:p w14:paraId="4E7060F9">
      <w:pPr>
        <w:pStyle w:val="46"/>
        <w:numPr>
          <w:ilvl w:val="3"/>
          <w:numId w:val="16"/>
        </w:numPr>
        <w:tabs>
          <w:tab w:val="left" w:pos="709"/>
        </w:tabs>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如我方中选：</w:t>
      </w:r>
    </w:p>
    <w:p w14:paraId="484501FB">
      <w:pPr>
        <w:pStyle w:val="46"/>
        <w:numPr>
          <w:ilvl w:val="0"/>
          <w:numId w:val="17"/>
        </w:numPr>
        <w:tabs>
          <w:tab w:val="left" w:pos="993"/>
        </w:tabs>
        <w:spacing w:line="440" w:lineRule="exact"/>
        <w:ind w:left="0" w:firstLine="426" w:firstLineChars="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我方承诺在收到中选通知书后，在中选通知书规定的期限内与你方签订合同。</w:t>
      </w:r>
    </w:p>
    <w:p w14:paraId="1A69C5A4">
      <w:pPr>
        <w:pStyle w:val="46"/>
        <w:numPr>
          <w:ilvl w:val="0"/>
          <w:numId w:val="17"/>
        </w:numPr>
        <w:tabs>
          <w:tab w:val="left" w:pos="993"/>
        </w:tabs>
        <w:spacing w:line="440" w:lineRule="exact"/>
        <w:ind w:left="0" w:firstLine="426" w:firstLineChars="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我方承诺按照比选文件规定递交履约</w:t>
      </w:r>
      <w:r>
        <w:rPr>
          <w:rFonts w:hint="eastAsia" w:ascii="宋体" w:hAnsi="宋体"/>
          <w:color w:val="000000" w:themeColor="text1"/>
          <w:sz w:val="24"/>
          <w:highlight w:val="none"/>
          <w14:textFill>
            <w14:solidFill>
              <w14:schemeClr w14:val="tx1"/>
            </w14:solidFill>
          </w14:textFill>
        </w:rPr>
        <w:t>保证金、支付比选代理服务费</w:t>
      </w:r>
      <w:r>
        <w:rPr>
          <w:rFonts w:ascii="宋体" w:hAnsi="宋体"/>
          <w:color w:val="000000" w:themeColor="text1"/>
          <w:sz w:val="24"/>
          <w:highlight w:val="none"/>
          <w14:textFill>
            <w14:solidFill>
              <w14:schemeClr w14:val="tx1"/>
            </w14:solidFill>
          </w14:textFill>
        </w:rPr>
        <w:t>。</w:t>
      </w:r>
    </w:p>
    <w:p w14:paraId="66CFD4AE">
      <w:pPr>
        <w:pStyle w:val="46"/>
        <w:numPr>
          <w:ilvl w:val="0"/>
          <w:numId w:val="17"/>
        </w:numPr>
        <w:tabs>
          <w:tab w:val="left" w:pos="993"/>
        </w:tabs>
        <w:spacing w:line="440" w:lineRule="exact"/>
        <w:ind w:left="0" w:firstLine="426" w:firstLineChars="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我方承诺</w:t>
      </w:r>
      <w:r>
        <w:rPr>
          <w:rFonts w:hint="eastAsia" w:ascii="宋体" w:hAnsi="宋体"/>
          <w:color w:val="000000" w:themeColor="text1"/>
          <w:sz w:val="24"/>
          <w:highlight w:val="none"/>
          <w14:textFill>
            <w14:solidFill>
              <w14:schemeClr w14:val="tx1"/>
            </w14:solidFill>
          </w14:textFill>
        </w:rPr>
        <w:t>按照比选文件的规定及合同约定履行相关责任和义务。</w:t>
      </w:r>
    </w:p>
    <w:p w14:paraId="4E1F0894">
      <w:pPr>
        <w:pStyle w:val="46"/>
        <w:numPr>
          <w:ilvl w:val="0"/>
          <w:numId w:val="17"/>
        </w:numPr>
        <w:tabs>
          <w:tab w:val="left" w:pos="993"/>
        </w:tabs>
        <w:spacing w:line="440" w:lineRule="exact"/>
        <w:ind w:firstLineChars="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我方承诺</w:t>
      </w:r>
      <w:r>
        <w:rPr>
          <w:rFonts w:hint="eastAsia" w:ascii="宋体" w:hAnsi="宋体"/>
          <w:color w:val="000000" w:themeColor="text1"/>
          <w:sz w:val="24"/>
          <w:highlight w:val="none"/>
          <w14:textFill>
            <w14:solidFill>
              <w14:schemeClr w14:val="tx1"/>
            </w14:solidFill>
          </w14:textFill>
        </w:rPr>
        <w:t>每年按中选报价金额向比选人支付合作经营费，自负盈亏。</w:t>
      </w:r>
    </w:p>
    <w:p w14:paraId="1798E8CA">
      <w:pPr>
        <w:pStyle w:val="46"/>
        <w:numPr>
          <w:ilvl w:val="0"/>
          <w:numId w:val="17"/>
        </w:numPr>
        <w:tabs>
          <w:tab w:val="left" w:pos="993"/>
        </w:tabs>
        <w:spacing w:line="440" w:lineRule="exact"/>
        <w:ind w:left="0" w:firstLine="426" w:firstLineChars="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我方承诺</w:t>
      </w:r>
      <w:r>
        <w:rPr>
          <w:rFonts w:hint="eastAsia" w:ascii="宋体" w:hAnsi="宋体"/>
          <w:color w:val="000000" w:themeColor="text1"/>
          <w:sz w:val="24"/>
          <w:highlight w:val="none"/>
          <w14:textFill>
            <w14:solidFill>
              <w14:schemeClr w14:val="tx1"/>
            </w14:solidFill>
          </w14:textFill>
        </w:rPr>
        <w:t>合同服务期内停车场内发生的安全事故及安全责任由我方自行承担相应责任。</w:t>
      </w:r>
    </w:p>
    <w:p w14:paraId="60274ABF">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我方在此声明，所递交的参选文件及有关资料内容完整、真实和准确，且不存在第二章“参选人须知”第1.8款规定的任何一种情形。</w:t>
      </w:r>
      <w:r>
        <w:rPr>
          <w:rFonts w:ascii="宋体" w:hAnsi="宋体"/>
          <w:color w:val="000000" w:themeColor="text1"/>
          <w:sz w:val="24"/>
          <w:highlight w:val="none"/>
          <w14:textFill>
            <w14:solidFill>
              <w14:schemeClr w14:val="tx1"/>
            </w14:solidFill>
          </w14:textFill>
        </w:rPr>
        <w:t>如有弄虚作假，将承担相应的法律责任，并赔偿由此造成的一切损失。</w:t>
      </w:r>
    </w:p>
    <w:p w14:paraId="5E6B7885">
      <w:pPr>
        <w:pStyle w:val="46"/>
        <w:numPr>
          <w:ilvl w:val="3"/>
          <w:numId w:val="16"/>
        </w:numPr>
        <w:tabs>
          <w:tab w:val="left" w:pos="709"/>
        </w:tabs>
        <w:spacing w:line="440" w:lineRule="exact"/>
        <w:ind w:left="0" w:firstLine="484" w:firstLineChars="20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参选有效期</w:t>
      </w:r>
      <w:r>
        <w:rPr>
          <w:rFonts w:hint="eastAsia" w:ascii="宋体" w:hAnsi="宋体"/>
          <w:color w:val="000000" w:themeColor="text1"/>
          <w:sz w:val="24"/>
          <w:highlight w:val="none"/>
          <w:u w:val="single"/>
          <w14:textFill>
            <w14:solidFill>
              <w14:schemeClr w14:val="tx1"/>
            </w14:solidFill>
          </w14:textFill>
        </w:rPr>
        <w:t>90</w:t>
      </w:r>
      <w:r>
        <w:rPr>
          <w:rFonts w:hint="eastAsia" w:ascii="宋体" w:hAnsi="宋体"/>
          <w:color w:val="000000" w:themeColor="text1"/>
          <w:sz w:val="24"/>
          <w:highlight w:val="none"/>
          <w14:textFill>
            <w14:solidFill>
              <w14:schemeClr w14:val="tx1"/>
            </w14:solidFill>
          </w14:textFill>
        </w:rPr>
        <w:t>天</w:t>
      </w:r>
    </w:p>
    <w:p w14:paraId="5BFB7F2D">
      <w:pPr>
        <w:spacing w:line="440" w:lineRule="exact"/>
        <w:ind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参选人名称：</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（盖单位公章）</w:t>
      </w:r>
    </w:p>
    <w:p w14:paraId="5A4ABAA9">
      <w:pPr>
        <w:spacing w:line="440" w:lineRule="exact"/>
        <w:ind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法定代表人/负责人（签字或盖章）</w:t>
      </w:r>
      <w:r>
        <w:rPr>
          <w:rFonts w:ascii="宋体" w:hAnsi="宋体"/>
          <w:color w:val="000000" w:themeColor="text1"/>
          <w:sz w:val="24"/>
          <w:highlight w:val="none"/>
          <w14:textFill>
            <w14:solidFill>
              <w14:schemeClr w14:val="tx1"/>
            </w14:solidFill>
          </w14:textFill>
        </w:rPr>
        <w:t>或者其委托代理人</w:t>
      </w:r>
      <w:r>
        <w:rPr>
          <w:rFonts w:hint="eastAsia" w:ascii="宋体" w:hAnsi="宋体"/>
          <w:color w:val="000000" w:themeColor="text1"/>
          <w:sz w:val="24"/>
          <w:highlight w:val="none"/>
          <w14:textFill>
            <w14:solidFill>
              <w14:schemeClr w14:val="tx1"/>
            </w14:solidFill>
          </w14:textFill>
        </w:rPr>
        <w:t>（签字）</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p>
    <w:p w14:paraId="7FE7D303">
      <w:pPr>
        <w:spacing w:line="440" w:lineRule="exact"/>
        <w:ind w:firstLine="424" w:firstLineChars="177"/>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地址：</w:t>
      </w:r>
      <w:r>
        <w:rPr>
          <w:rFonts w:ascii="宋体" w:hAnsi="宋体"/>
          <w:color w:val="000000" w:themeColor="text1"/>
          <w:sz w:val="24"/>
          <w:highlight w:val="none"/>
          <w:u w:val="single"/>
          <w14:textFill>
            <w14:solidFill>
              <w14:schemeClr w14:val="tx1"/>
            </w14:solidFill>
          </w14:textFill>
        </w:rPr>
        <w:t xml:space="preserve">                                     </w:t>
      </w:r>
    </w:p>
    <w:p w14:paraId="7B971053">
      <w:pPr>
        <w:spacing w:line="440" w:lineRule="exact"/>
        <w:ind w:firstLine="424" w:firstLineChars="177"/>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电话：</w:t>
      </w:r>
      <w:r>
        <w:rPr>
          <w:rFonts w:ascii="宋体" w:hAnsi="宋体"/>
          <w:color w:val="000000" w:themeColor="text1"/>
          <w:sz w:val="24"/>
          <w:highlight w:val="none"/>
          <w:u w:val="single"/>
          <w14:textFill>
            <w14:solidFill>
              <w14:schemeClr w14:val="tx1"/>
            </w14:solidFill>
          </w14:textFill>
        </w:rPr>
        <w:t xml:space="preserve">                                     </w:t>
      </w:r>
    </w:p>
    <w:p w14:paraId="6D5A3244">
      <w:pPr>
        <w:spacing w:line="400" w:lineRule="exact"/>
        <w:ind w:firstLine="424" w:firstLineChars="177"/>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38474D1F">
      <w:pPr>
        <w:ind w:firstLine="3240" w:firstLineChars="1350"/>
        <w:rPr>
          <w:rFonts w:hint="eastAsia" w:ascii="宋体" w:hAnsi="宋体"/>
          <w:color w:val="000000" w:themeColor="text1"/>
          <w:sz w:val="24"/>
          <w:highlight w:val="none"/>
          <w14:textFill>
            <w14:solidFill>
              <w14:schemeClr w14:val="tx1"/>
            </w14:solidFill>
          </w14:textFill>
        </w:rPr>
      </w:pPr>
    </w:p>
    <w:p w14:paraId="22665FD3">
      <w:pPr>
        <w:pStyle w:val="16"/>
        <w:rPr>
          <w:color w:val="000000" w:themeColor="text1"/>
          <w:highlight w:val="none"/>
          <w14:textFill>
            <w14:solidFill>
              <w14:schemeClr w14:val="tx1"/>
            </w14:solidFill>
          </w14:textFill>
        </w:rPr>
      </w:pPr>
    </w:p>
    <w:p w14:paraId="4C76F905">
      <w:pPr>
        <w:rPr>
          <w:color w:val="000000" w:themeColor="text1"/>
          <w:highlight w:val="none"/>
          <w14:textFill>
            <w14:solidFill>
              <w14:schemeClr w14:val="tx1"/>
            </w14:solidFill>
          </w14:textFill>
        </w:rPr>
      </w:pPr>
    </w:p>
    <w:p w14:paraId="0B3C06B7">
      <w:pPr>
        <w:ind w:firstLine="3240" w:firstLineChars="1350"/>
        <w:rPr>
          <w:rFonts w:hint="eastAsia" w:ascii="宋体" w:hAnsi="宋体"/>
          <w:color w:val="000000" w:themeColor="text1"/>
          <w:sz w:val="24"/>
          <w:highlight w:val="none"/>
          <w14:textFill>
            <w14:solidFill>
              <w14:schemeClr w14:val="tx1"/>
            </w14:solidFill>
          </w14:textFill>
        </w:rPr>
      </w:pPr>
    </w:p>
    <w:p w14:paraId="18DA626A">
      <w:pPr>
        <w:numPr>
          <w:ilvl w:val="0"/>
          <w:numId w:val="18"/>
        </w:numPr>
        <w:topLinePunct/>
        <w:spacing w:line="440" w:lineRule="exact"/>
        <w:ind w:left="482" w:hanging="482" w:hangingChars="201"/>
        <w:jc w:val="left"/>
        <w:rPr>
          <w:rFonts w:hint="eastAsia" w:ascii="宋体" w:hAnsi="宋体"/>
          <w:color w:val="000000" w:themeColor="text1"/>
          <w:sz w:val="2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CFE3E60">
      <w:pPr>
        <w:pStyle w:val="35"/>
        <w:numPr>
          <w:ilvl w:val="0"/>
          <w:numId w:val="15"/>
        </w:numPr>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483" w:name="_Toc492552998"/>
      <w:bookmarkEnd w:id="483"/>
      <w:bookmarkStart w:id="484" w:name="_Toc492552987"/>
      <w:bookmarkEnd w:id="484"/>
      <w:bookmarkStart w:id="485" w:name="_Toc492552985"/>
      <w:bookmarkEnd w:id="485"/>
      <w:bookmarkStart w:id="486" w:name="_Toc492552974"/>
      <w:bookmarkEnd w:id="486"/>
      <w:bookmarkStart w:id="487" w:name="_Toc492552975"/>
      <w:bookmarkEnd w:id="487"/>
      <w:bookmarkStart w:id="488" w:name="_Toc492552982"/>
      <w:bookmarkEnd w:id="488"/>
      <w:bookmarkStart w:id="489" w:name="_Toc492552996"/>
      <w:bookmarkEnd w:id="489"/>
      <w:bookmarkStart w:id="490" w:name="_Toc492552983"/>
      <w:bookmarkEnd w:id="490"/>
      <w:bookmarkStart w:id="491" w:name="_Toc492552992"/>
      <w:bookmarkEnd w:id="491"/>
      <w:bookmarkStart w:id="492" w:name="_Toc492552979"/>
      <w:bookmarkEnd w:id="492"/>
      <w:bookmarkStart w:id="493" w:name="_Toc492552997"/>
      <w:bookmarkEnd w:id="493"/>
      <w:bookmarkStart w:id="494" w:name="_Toc492552995"/>
      <w:bookmarkEnd w:id="494"/>
      <w:bookmarkStart w:id="495" w:name="_Toc492552980"/>
      <w:bookmarkEnd w:id="495"/>
      <w:bookmarkStart w:id="496" w:name="_Toc492552981"/>
      <w:bookmarkEnd w:id="496"/>
      <w:bookmarkStart w:id="497" w:name="_Toc492552986"/>
      <w:bookmarkEnd w:id="497"/>
      <w:bookmarkStart w:id="498" w:name="_Toc492552991"/>
      <w:bookmarkEnd w:id="498"/>
      <w:bookmarkStart w:id="499" w:name="_Toc492552976"/>
      <w:bookmarkEnd w:id="499"/>
      <w:bookmarkStart w:id="500" w:name="_Toc492552988"/>
      <w:bookmarkEnd w:id="500"/>
      <w:bookmarkStart w:id="501" w:name="_Toc492552984"/>
      <w:bookmarkEnd w:id="501"/>
      <w:bookmarkStart w:id="502" w:name="_Toc492552978"/>
      <w:bookmarkEnd w:id="502"/>
      <w:bookmarkStart w:id="503" w:name="_Toc492552990"/>
      <w:bookmarkEnd w:id="503"/>
      <w:bookmarkStart w:id="504" w:name="_Toc492552994"/>
      <w:bookmarkEnd w:id="504"/>
      <w:bookmarkStart w:id="505" w:name="_Toc492552989"/>
      <w:bookmarkEnd w:id="505"/>
      <w:bookmarkStart w:id="506" w:name="_Toc492552993"/>
      <w:bookmarkEnd w:id="506"/>
      <w:bookmarkStart w:id="507" w:name="_Toc492552999"/>
      <w:bookmarkEnd w:id="507"/>
      <w:bookmarkStart w:id="508" w:name="_Toc492552973"/>
      <w:bookmarkEnd w:id="508"/>
      <w:bookmarkStart w:id="509" w:name="_Toc492552977"/>
      <w:bookmarkEnd w:id="509"/>
      <w:bookmarkStart w:id="510" w:name="_Toc475472674"/>
      <w:bookmarkStart w:id="511" w:name="_Toc9809"/>
      <w:r>
        <w:rPr>
          <w:rFonts w:ascii="宋体" w:hAnsi="宋体"/>
          <w:color w:val="000000" w:themeColor="text1"/>
          <w:sz w:val="24"/>
          <w:szCs w:val="24"/>
          <w:highlight w:val="none"/>
          <w14:textFill>
            <w14:solidFill>
              <w14:schemeClr w14:val="tx1"/>
            </w14:solidFill>
          </w14:textFill>
        </w:rPr>
        <w:t>法定代表人/负责人身份证明</w:t>
      </w:r>
      <w:bookmarkEnd w:id="510"/>
      <w:bookmarkEnd w:id="511"/>
    </w:p>
    <w:p w14:paraId="10AB8F64">
      <w:pPr>
        <w:jc w:val="center"/>
        <w:rPr>
          <w:rFonts w:hint="eastAsia" w:ascii="宋体" w:hAnsi="宋体" w:cs="宋体"/>
          <w:b/>
          <w:color w:val="000000" w:themeColor="text1"/>
          <w:sz w:val="24"/>
          <w:highlight w:val="none"/>
          <w14:textFill>
            <w14:solidFill>
              <w14:schemeClr w14:val="tx1"/>
            </w14:solidFill>
          </w14:textFill>
        </w:rPr>
      </w:pPr>
    </w:p>
    <w:p w14:paraId="20A8B0BE">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法定代表人/负责人身份证明</w:t>
      </w:r>
    </w:p>
    <w:p w14:paraId="02913275">
      <w:pPr>
        <w:spacing w:line="440" w:lineRule="exact"/>
        <w:rPr>
          <w:rFonts w:hint="eastAsia" w:ascii="宋体" w:hAnsi="宋体"/>
          <w:color w:val="000000" w:themeColor="text1"/>
          <w:sz w:val="24"/>
          <w:highlight w:val="none"/>
          <w14:textFill>
            <w14:solidFill>
              <w14:schemeClr w14:val="tx1"/>
            </w14:solidFill>
          </w14:textFill>
        </w:rPr>
      </w:pPr>
    </w:p>
    <w:p w14:paraId="17496648">
      <w:pPr>
        <w:topLinePunct/>
        <w:snapToGrid w:val="0"/>
        <w:spacing w:line="440" w:lineRule="exact"/>
        <w:rPr>
          <w:rFonts w:hint="eastAsia"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参选</w:t>
      </w:r>
      <w:r>
        <w:rPr>
          <w:rFonts w:ascii="宋体" w:hAnsi="宋体"/>
          <w:bCs/>
          <w:color w:val="000000" w:themeColor="text1"/>
          <w:sz w:val="24"/>
          <w:highlight w:val="none"/>
          <w14:textFill>
            <w14:solidFill>
              <w14:schemeClr w14:val="tx1"/>
            </w14:solidFill>
          </w14:textFill>
        </w:rPr>
        <w:t>人名称：</w:t>
      </w:r>
      <w:r>
        <w:rPr>
          <w:rFonts w:ascii="宋体" w:hAnsi="宋体"/>
          <w:bCs/>
          <w:color w:val="000000" w:themeColor="text1"/>
          <w:sz w:val="24"/>
          <w:highlight w:val="none"/>
          <w:u w:val="single"/>
          <w14:textFill>
            <w14:solidFill>
              <w14:schemeClr w14:val="tx1"/>
            </w14:solidFill>
          </w14:textFill>
        </w:rPr>
        <w:t xml:space="preserve">                         </w:t>
      </w:r>
    </w:p>
    <w:p w14:paraId="75E59F56">
      <w:pPr>
        <w:topLinePunct/>
        <w:snapToGrid w:val="0"/>
        <w:spacing w:line="440" w:lineRule="exact"/>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单位性质：</w:t>
      </w:r>
      <w:r>
        <w:rPr>
          <w:rFonts w:ascii="宋体" w:hAnsi="宋体"/>
          <w:bCs/>
          <w:color w:val="000000" w:themeColor="text1"/>
          <w:sz w:val="24"/>
          <w:highlight w:val="none"/>
          <w:u w:val="single"/>
          <w14:textFill>
            <w14:solidFill>
              <w14:schemeClr w14:val="tx1"/>
            </w14:solidFill>
          </w14:textFill>
        </w:rPr>
        <w:t xml:space="preserve">                           </w:t>
      </w:r>
    </w:p>
    <w:p w14:paraId="051EAC85">
      <w:pPr>
        <w:topLinePunct/>
        <w:snapToGrid w:val="0"/>
        <w:spacing w:line="440" w:lineRule="exact"/>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成立时间：</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年</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月</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日</w:t>
      </w:r>
    </w:p>
    <w:p w14:paraId="04CD0A9D">
      <w:pPr>
        <w:topLinePunct/>
        <w:snapToGrid w:val="0"/>
        <w:spacing w:line="440" w:lineRule="exact"/>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经营期限：</w:t>
      </w:r>
      <w:r>
        <w:rPr>
          <w:rFonts w:ascii="宋体" w:hAnsi="宋体"/>
          <w:bCs/>
          <w:color w:val="000000" w:themeColor="text1"/>
          <w:sz w:val="24"/>
          <w:highlight w:val="none"/>
          <w:u w:val="single"/>
          <w14:textFill>
            <w14:solidFill>
              <w14:schemeClr w14:val="tx1"/>
            </w14:solidFill>
          </w14:textFill>
        </w:rPr>
        <w:t xml:space="preserve">            </w:t>
      </w:r>
    </w:p>
    <w:p w14:paraId="491CE786">
      <w:pPr>
        <w:topLinePunct/>
        <w:snapToGrid w:val="0"/>
        <w:spacing w:line="440" w:lineRule="exact"/>
        <w:rPr>
          <w:rFonts w:hint="eastAsia" w:ascii="宋体" w:hAns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14:textFill>
            <w14:solidFill>
              <w14:schemeClr w14:val="tx1"/>
            </w14:solidFill>
          </w14:textFill>
        </w:rPr>
        <w:t>姓名：</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性别：</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年龄：</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职务：</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14:textFill>
            <w14:solidFill>
              <w14:schemeClr w14:val="tx1"/>
            </w14:solidFill>
          </w14:textFill>
        </w:rPr>
        <w:t xml:space="preserve"> </w:t>
      </w:r>
    </w:p>
    <w:p w14:paraId="74EAEC3F">
      <w:pPr>
        <w:topLinePunct/>
        <w:snapToGrid w:val="0"/>
        <w:spacing w:line="440" w:lineRule="exact"/>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[参选人单位</w:t>
      </w:r>
      <w:r>
        <w:rPr>
          <w:rFonts w:ascii="宋体" w:hAnsi="宋体"/>
          <w:color w:val="000000" w:themeColor="text1"/>
          <w:sz w:val="24"/>
          <w:highlight w:val="none"/>
          <w:u w:val="single"/>
          <w14:textFill>
            <w14:solidFill>
              <w14:schemeClr w14:val="tx1"/>
            </w14:solidFill>
          </w14:textFill>
        </w:rPr>
        <w:t>名称</w:t>
      </w:r>
      <w:r>
        <w:rPr>
          <w:rFonts w:hint="eastAsia" w:ascii="宋体" w:hAnsi="宋体"/>
          <w:color w:val="000000" w:themeColor="text1"/>
          <w:sz w:val="24"/>
          <w:highlight w:val="none"/>
          <w:u w:val="singl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的法定代表人。</w:t>
      </w:r>
    </w:p>
    <w:p w14:paraId="737634A7">
      <w:pPr>
        <w:topLinePunct/>
        <w:snapToGrid w:val="0"/>
        <w:spacing w:line="440" w:lineRule="exact"/>
        <w:ind w:firstLine="480" w:firstLineChars="20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特此证明。</w:t>
      </w:r>
    </w:p>
    <w:p w14:paraId="18CEEFF8">
      <w:pPr>
        <w:topLinePunct/>
        <w:snapToGrid w:val="0"/>
        <w:spacing w:line="440" w:lineRule="exact"/>
        <w:ind w:firstLine="480" w:firstLineChars="200"/>
        <w:rPr>
          <w:rFonts w:hint="eastAsia" w:ascii="宋体" w:hAnsi="宋体"/>
          <w:bCs/>
          <w:color w:val="000000" w:themeColor="text1"/>
          <w:sz w:val="24"/>
          <w:highlight w:val="none"/>
          <w14:textFill>
            <w14:solidFill>
              <w14:schemeClr w14:val="tx1"/>
            </w14:solidFill>
          </w14:textFill>
        </w:rPr>
      </w:pPr>
    </w:p>
    <w:p w14:paraId="55D8B5F7">
      <w:pPr>
        <w:topLinePunct/>
        <w:snapToGrid w:val="0"/>
        <w:spacing w:line="440" w:lineRule="exac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附：法定代表人身份证复印件</w:t>
      </w:r>
    </w:p>
    <w:p w14:paraId="75C99965">
      <w:pPr>
        <w:spacing w:line="500" w:lineRule="exact"/>
        <w:rPr>
          <w:rFonts w:hint="eastAsia" w:ascii="宋体" w:hAnsi="宋体"/>
          <w:color w:val="000000" w:themeColor="text1"/>
          <w:sz w:val="24"/>
          <w:highlight w:val="none"/>
          <w14:textFill>
            <w14:solidFill>
              <w14:schemeClr w14:val="tx1"/>
            </w14:solidFill>
          </w14:textFill>
        </w:rPr>
      </w:pPr>
    </w:p>
    <w:p w14:paraId="520EC1A2">
      <w:pPr>
        <w:spacing w:line="500" w:lineRule="exact"/>
        <w:rPr>
          <w:rFonts w:hint="eastAsia" w:ascii="宋体" w:hAnsi="宋体"/>
          <w:color w:val="000000" w:themeColor="text1"/>
          <w:sz w:val="24"/>
          <w:highlight w:val="none"/>
          <w14:textFill>
            <w14:solidFill>
              <w14:schemeClr w14:val="tx1"/>
            </w14:solidFill>
          </w14:textFill>
        </w:rPr>
      </w:pPr>
    </w:p>
    <w:p w14:paraId="1B274D21">
      <w:pPr>
        <w:spacing w:line="440" w:lineRule="exact"/>
        <w:rPr>
          <w:rFonts w:hint="eastAsia" w:ascii="宋体" w:hAnsi="宋体"/>
          <w:color w:val="000000" w:themeColor="text1"/>
          <w:sz w:val="24"/>
          <w:highlight w:val="none"/>
          <w14:textFill>
            <w14:solidFill>
              <w14:schemeClr w14:val="tx1"/>
            </w14:solidFill>
          </w14:textFill>
        </w:rPr>
      </w:pPr>
    </w:p>
    <w:p w14:paraId="4DC6A655">
      <w:pPr>
        <w:spacing w:line="440" w:lineRule="exac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58E7DF52">
      <w:pPr>
        <w:spacing w:line="500" w:lineRule="exact"/>
        <w:rPr>
          <w:rFonts w:hint="eastAsia" w:ascii="宋体" w:hAnsi="宋体"/>
          <w:color w:val="000000" w:themeColor="text1"/>
          <w:sz w:val="24"/>
          <w:highlight w:val="none"/>
          <w14:textFill>
            <w14:solidFill>
              <w14:schemeClr w14:val="tx1"/>
            </w14:solidFill>
          </w14:textFill>
        </w:rPr>
      </w:pPr>
    </w:p>
    <w:p w14:paraId="526F41D4">
      <w:pPr>
        <w:spacing w:line="440" w:lineRule="exact"/>
        <w:rPr>
          <w:rFonts w:hint="eastAsia" w:ascii="宋体" w:hAnsi="宋体"/>
          <w:color w:val="000000" w:themeColor="text1"/>
          <w:sz w:val="24"/>
          <w:highlight w:val="none"/>
          <w14:textFill>
            <w14:solidFill>
              <w14:schemeClr w14:val="tx1"/>
            </w14:solidFill>
          </w14:textFill>
        </w:rPr>
      </w:pPr>
    </w:p>
    <w:p w14:paraId="113D3138">
      <w:pPr>
        <w:spacing w:line="500" w:lineRule="exact"/>
        <w:rPr>
          <w:rFonts w:hint="eastAsia" w:ascii="宋体" w:hAnsi="宋体"/>
          <w:color w:val="000000" w:themeColor="text1"/>
          <w:sz w:val="24"/>
          <w:highlight w:val="none"/>
          <w14:textFill>
            <w14:solidFill>
              <w14:schemeClr w14:val="tx1"/>
            </w14:solidFill>
          </w14:textFill>
        </w:rPr>
      </w:pPr>
    </w:p>
    <w:p w14:paraId="7395E498">
      <w:pPr>
        <w:spacing w:line="440" w:lineRule="exact"/>
        <w:rPr>
          <w:rFonts w:hint="eastAsia" w:ascii="宋体" w:hAnsi="宋体"/>
          <w:color w:val="000000" w:themeColor="text1"/>
          <w:sz w:val="24"/>
          <w:highlight w:val="none"/>
          <w14:textFill>
            <w14:solidFill>
              <w14:schemeClr w14:val="tx1"/>
            </w14:solidFill>
          </w14:textFill>
        </w:rPr>
      </w:pPr>
    </w:p>
    <w:p w14:paraId="586F7E59">
      <w:pPr>
        <w:spacing w:line="440" w:lineRule="exac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484F0229">
      <w:pPr>
        <w:spacing w:line="440" w:lineRule="exact"/>
        <w:jc w:val="righ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参选人</w:t>
      </w:r>
      <w:r>
        <w:rPr>
          <w:rFonts w:hint="eastAsia" w:ascii="宋体" w:hAnsi="宋体"/>
          <w:color w:val="000000" w:themeColor="text1"/>
          <w:sz w:val="24"/>
          <w:highlight w:val="none"/>
          <w14:textFill>
            <w14:solidFill>
              <w14:schemeClr w14:val="tx1"/>
            </w14:solidFill>
          </w14:textFill>
        </w:rPr>
        <w:t>名称</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（盖单位公章）</w:t>
      </w:r>
    </w:p>
    <w:p w14:paraId="1A12B2F7">
      <w:pPr>
        <w:spacing w:line="440" w:lineRule="exact"/>
        <w:ind w:firstLine="4920" w:firstLineChars="2050"/>
        <w:rPr>
          <w:rFonts w:hint="eastAsia" w:ascii="宋体" w:hAnsi="宋体"/>
          <w:color w:val="000000" w:themeColor="text1"/>
          <w:sz w:val="24"/>
          <w:highlight w:val="none"/>
          <w14:textFill>
            <w14:solidFill>
              <w14:schemeClr w14:val="tx1"/>
            </w14:solidFill>
          </w14:textFill>
        </w:rPr>
      </w:pPr>
    </w:p>
    <w:p w14:paraId="5A687FED">
      <w:pPr>
        <w:spacing w:line="440" w:lineRule="exac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日期：  年  月  日</w:t>
      </w:r>
    </w:p>
    <w:p w14:paraId="76008AE6">
      <w:pPr>
        <w:pStyle w:val="35"/>
        <w:numPr>
          <w:ilvl w:val="0"/>
          <w:numId w:val="15"/>
        </w:numPr>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bookmarkStart w:id="512" w:name="_Toc13459"/>
      <w:bookmarkStart w:id="513" w:name="_Toc438052122"/>
      <w:bookmarkStart w:id="514" w:name="_Toc475472675"/>
      <w:r>
        <w:rPr>
          <w:rFonts w:ascii="宋体" w:hAnsi="宋体"/>
          <w:color w:val="000000" w:themeColor="text1"/>
          <w:sz w:val="24"/>
          <w:szCs w:val="24"/>
          <w:highlight w:val="none"/>
          <w14:textFill>
            <w14:solidFill>
              <w14:schemeClr w14:val="tx1"/>
            </w14:solidFill>
          </w14:textFill>
        </w:rPr>
        <w:t>法定代表人/负责人授权委托书</w:t>
      </w:r>
      <w:bookmarkEnd w:id="512"/>
      <w:bookmarkEnd w:id="513"/>
      <w:bookmarkEnd w:id="514"/>
    </w:p>
    <w:p w14:paraId="0DDD97AA">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法定代表人/负责人授权委托书</w:t>
      </w:r>
    </w:p>
    <w:p w14:paraId="090FFCD9">
      <w:pPr>
        <w:jc w:val="center"/>
        <w:rPr>
          <w:rFonts w:hint="eastAsia" w:ascii="宋体" w:hAnsi="宋体" w:cs="宋体"/>
          <w:b/>
          <w:color w:val="000000" w:themeColor="text1"/>
          <w:sz w:val="24"/>
          <w:highlight w:val="none"/>
          <w14:textFill>
            <w14:solidFill>
              <w14:schemeClr w14:val="tx1"/>
            </w14:solidFill>
          </w14:textFill>
        </w:rPr>
      </w:pPr>
    </w:p>
    <w:p w14:paraId="4563CB20">
      <w:pPr>
        <w:topLinePunct/>
        <w:snapToGrid w:val="0"/>
        <w:spacing w:line="440" w:lineRule="exact"/>
        <w:ind w:firstLine="480" w:firstLineChars="20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[参选人法定代表人/负责人</w:t>
      </w:r>
      <w:r>
        <w:rPr>
          <w:rFonts w:ascii="宋体" w:hAnsi="宋体"/>
          <w:color w:val="000000" w:themeColor="text1"/>
          <w:sz w:val="24"/>
          <w:highlight w:val="none"/>
          <w:u w:val="single"/>
          <w14:textFill>
            <w14:solidFill>
              <w14:schemeClr w14:val="tx1"/>
            </w14:solidFill>
          </w14:textFill>
        </w:rPr>
        <w:t>姓名</w:t>
      </w:r>
      <w:r>
        <w:rPr>
          <w:rFonts w:hint="eastAsia" w:ascii="宋体" w:hAnsi="宋体"/>
          <w:color w:val="000000" w:themeColor="text1"/>
          <w:sz w:val="24"/>
          <w:highlight w:val="none"/>
          <w:u w:val="singl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 xml:space="preserve">系 </w:t>
      </w:r>
      <w:r>
        <w:rPr>
          <w:rFonts w:hint="eastAsia" w:ascii="宋体" w:hAnsi="宋体"/>
          <w:color w:val="000000" w:themeColor="text1"/>
          <w:sz w:val="24"/>
          <w:highlight w:val="none"/>
          <w:u w:val="single"/>
          <w14:textFill>
            <w14:solidFill>
              <w14:schemeClr w14:val="tx1"/>
            </w14:solidFill>
          </w14:textFill>
        </w:rPr>
        <w:t>【 [参选</w:t>
      </w:r>
      <w:r>
        <w:rPr>
          <w:rFonts w:ascii="宋体" w:hAnsi="宋体"/>
          <w:color w:val="000000" w:themeColor="text1"/>
          <w:sz w:val="24"/>
          <w:highlight w:val="none"/>
          <w:u w:val="single"/>
          <w14:textFill>
            <w14:solidFill>
              <w14:schemeClr w14:val="tx1"/>
            </w14:solidFill>
          </w14:textFill>
        </w:rPr>
        <w:t>人名称</w:t>
      </w:r>
      <w:r>
        <w:rPr>
          <w:rFonts w:hint="eastAsia" w:ascii="宋体" w:hAnsi="宋体"/>
          <w:color w:val="000000" w:themeColor="text1"/>
          <w:sz w:val="24"/>
          <w:highlight w:val="none"/>
          <w:u w:val="singl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的法定代表人，现委托</w:t>
      </w:r>
      <w:r>
        <w:rPr>
          <w:rFonts w:hint="eastAsia" w:ascii="宋体" w:hAnsi="宋体"/>
          <w:color w:val="000000" w:themeColor="text1"/>
          <w:sz w:val="24"/>
          <w:highlight w:val="none"/>
          <w:u w:val="single"/>
          <w14:textFill>
            <w14:solidFill>
              <w14:schemeClr w14:val="tx1"/>
            </w14:solidFill>
          </w14:textFill>
        </w:rPr>
        <w:t>【 [委托代理人</w:t>
      </w:r>
      <w:r>
        <w:rPr>
          <w:rFonts w:ascii="宋体" w:hAnsi="宋体"/>
          <w:color w:val="000000" w:themeColor="text1"/>
          <w:sz w:val="24"/>
          <w:highlight w:val="none"/>
          <w:u w:val="single"/>
          <w14:textFill>
            <w14:solidFill>
              <w14:schemeClr w14:val="tx1"/>
            </w14:solidFill>
          </w14:textFill>
        </w:rPr>
        <w:t>姓名</w:t>
      </w:r>
      <w:r>
        <w:rPr>
          <w:rFonts w:hint="eastAsia" w:ascii="宋体" w:hAnsi="宋体"/>
          <w:color w:val="000000" w:themeColor="text1"/>
          <w:sz w:val="24"/>
          <w:highlight w:val="none"/>
          <w:u w:val="singl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为我方代理人。代理人根据授权，以我方名义</w:t>
      </w:r>
      <w:r>
        <w:rPr>
          <w:rFonts w:hint="eastAsia" w:ascii="宋体" w:hAnsi="宋体"/>
          <w:bCs/>
          <w:color w:val="000000" w:themeColor="text1"/>
          <w:sz w:val="24"/>
          <w:highlight w:val="none"/>
          <w14:textFill>
            <w14:solidFill>
              <w14:schemeClr w14:val="tx1"/>
            </w14:solidFill>
          </w14:textFill>
        </w:rPr>
        <w:t>全权处理</w:t>
      </w:r>
      <w:r>
        <w:rPr>
          <w:rFonts w:hint="eastAsia" w:ascii="宋体" w:hAnsi="宋体"/>
          <w:color w:val="000000" w:themeColor="text1"/>
          <w:sz w:val="24"/>
          <w:highlight w:val="none"/>
          <w:u w:val="single"/>
          <w14:textFill>
            <w14:solidFill>
              <w14:schemeClr w14:val="tx1"/>
            </w14:solidFill>
          </w14:textFill>
        </w:rPr>
        <w:t>【[</w:t>
      </w:r>
      <w:r>
        <w:rPr>
          <w:rFonts w:ascii="宋体" w:hAnsi="宋体"/>
          <w:bCs/>
          <w:color w:val="000000" w:themeColor="text1"/>
          <w:sz w:val="24"/>
          <w:highlight w:val="none"/>
          <w:u w:val="single"/>
          <w14:textFill>
            <w14:solidFill>
              <w14:schemeClr w14:val="tx1"/>
            </w14:solidFill>
          </w14:textFill>
        </w:rPr>
        <w:t>比选项目名称</w:t>
      </w:r>
      <w:r>
        <w:rPr>
          <w:rFonts w:hint="eastAsia" w:ascii="宋体" w:hAnsi="宋体"/>
          <w:color w:val="000000" w:themeColor="text1"/>
          <w:sz w:val="24"/>
          <w:highlight w:val="none"/>
          <w:u w:val="single"/>
          <w14:textFill>
            <w14:solidFill>
              <w14:schemeClr w14:val="tx1"/>
            </w14:solidFill>
          </w14:textFill>
        </w:rPr>
        <w:t>]】【</w:t>
      </w:r>
      <w:r>
        <w:rPr>
          <w:rFonts w:ascii="宋体" w:hAnsi="宋体"/>
          <w:bCs/>
          <w:color w:val="000000" w:themeColor="text1"/>
          <w:sz w:val="24"/>
          <w:highlight w:val="none"/>
          <w:u w:val="single"/>
          <w14:textFill>
            <w14:solidFill>
              <w14:schemeClr w14:val="tx1"/>
            </w14:solidFill>
          </w14:textFill>
        </w:rPr>
        <w:t>签署、澄清</w:t>
      </w:r>
      <w:r>
        <w:rPr>
          <w:rFonts w:hint="eastAsia" w:ascii="宋体" w:hAnsi="宋体"/>
          <w:bCs/>
          <w:color w:val="000000" w:themeColor="text1"/>
          <w:sz w:val="24"/>
          <w:highlight w:val="none"/>
          <w:u w:val="single"/>
          <w14:textFill>
            <w14:solidFill>
              <w14:schemeClr w14:val="tx1"/>
            </w14:solidFill>
          </w14:textFill>
        </w:rPr>
        <w:t>、说明、补正</w:t>
      </w:r>
      <w:r>
        <w:rPr>
          <w:rFonts w:ascii="宋体" w:hAnsi="宋体"/>
          <w:bCs/>
          <w:color w:val="000000" w:themeColor="text1"/>
          <w:sz w:val="24"/>
          <w:highlight w:val="none"/>
          <w:u w:val="single"/>
          <w14:textFill>
            <w14:solidFill>
              <w14:schemeClr w14:val="tx1"/>
            </w14:solidFill>
          </w14:textFill>
        </w:rPr>
        <w:t>、递交、撤回、修改参选文件</w:t>
      </w:r>
      <w:r>
        <w:rPr>
          <w:rFonts w:hint="eastAsia" w:ascii="宋体" w:hAnsi="宋体"/>
          <w:bCs/>
          <w:color w:val="000000" w:themeColor="text1"/>
          <w:sz w:val="24"/>
          <w:highlight w:val="none"/>
          <w:u w:val="single"/>
          <w14:textFill>
            <w14:solidFill>
              <w14:schemeClr w14:val="tx1"/>
            </w14:solidFill>
          </w14:textFill>
        </w:rPr>
        <w:t>，</w:t>
      </w:r>
      <w:r>
        <w:rPr>
          <w:rFonts w:ascii="宋体" w:hAnsi="宋体"/>
          <w:bCs/>
          <w:color w:val="000000" w:themeColor="text1"/>
          <w:sz w:val="24"/>
          <w:highlight w:val="none"/>
          <w:u w:val="single"/>
          <w14:textFill>
            <w14:solidFill>
              <w14:schemeClr w14:val="tx1"/>
            </w14:solidFill>
          </w14:textFill>
        </w:rPr>
        <w:t>签订合同和处理</w:t>
      </w:r>
      <w:r>
        <w:rPr>
          <w:rFonts w:hint="eastAsia" w:ascii="宋体" w:hAnsi="宋体"/>
          <w:bCs/>
          <w:color w:val="000000" w:themeColor="text1"/>
          <w:sz w:val="24"/>
          <w:highlight w:val="none"/>
          <w:u w:val="single"/>
          <w14:textFill>
            <w14:solidFill>
              <w14:schemeClr w14:val="tx1"/>
            </w14:solidFill>
          </w14:textFill>
        </w:rPr>
        <w:t>一切</w:t>
      </w:r>
      <w:r>
        <w:rPr>
          <w:rFonts w:ascii="宋体" w:hAnsi="宋体"/>
          <w:bCs/>
          <w:color w:val="000000" w:themeColor="text1"/>
          <w:sz w:val="24"/>
          <w:highlight w:val="none"/>
          <w:u w:val="single"/>
          <w14:textFill>
            <w14:solidFill>
              <w14:schemeClr w14:val="tx1"/>
            </w14:solidFill>
          </w14:textFill>
        </w:rPr>
        <w:t>有关事宜</w:t>
      </w:r>
      <w:r>
        <w:rPr>
          <w:rFonts w:hint="eastAsia" w:ascii="宋体" w:hAnsi="宋体"/>
          <w:color w:val="000000" w:themeColor="text1"/>
          <w:sz w:val="24"/>
          <w:highlight w:val="none"/>
          <w:u w:val="singl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 xml:space="preserve">，其法律后果由我方承担。 </w:t>
      </w:r>
    </w:p>
    <w:p w14:paraId="2074709B">
      <w:pPr>
        <w:topLinePunct/>
        <w:snapToGrid w:val="0"/>
        <w:spacing w:line="440" w:lineRule="exact"/>
        <w:ind w:firstLine="480" w:firstLineChars="20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委托期限：</w:t>
      </w:r>
      <w:r>
        <w:rPr>
          <w:rFonts w:hint="eastAsia" w:ascii="宋体" w:hAnsi="宋体"/>
          <w:bCs/>
          <w:color w:val="000000" w:themeColor="text1"/>
          <w:sz w:val="24"/>
          <w:highlight w:val="none"/>
          <w:u w:val="single"/>
          <w14:textFill>
            <w14:solidFill>
              <w14:schemeClr w14:val="tx1"/>
            </w14:solidFill>
          </w14:textFill>
        </w:rPr>
        <w:t>90天</w:t>
      </w:r>
    </w:p>
    <w:p w14:paraId="2E10A5F4">
      <w:pPr>
        <w:topLinePunct/>
        <w:snapToGrid w:val="0"/>
        <w:spacing w:line="44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委托</w:t>
      </w:r>
      <w:r>
        <w:rPr>
          <w:rFonts w:ascii="宋体" w:hAnsi="宋体"/>
          <w:bCs/>
          <w:color w:val="000000" w:themeColor="text1"/>
          <w:sz w:val="24"/>
          <w:highlight w:val="none"/>
          <w14:textFill>
            <w14:solidFill>
              <w14:schemeClr w14:val="tx1"/>
            </w14:solidFill>
          </w14:textFill>
        </w:rPr>
        <w:t>代理人无转委托权。</w:t>
      </w:r>
    </w:p>
    <w:p w14:paraId="4FBB4B98">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附：委托代理人身份证复印件(需同时提供头</w:t>
      </w:r>
      <w:r>
        <w:rPr>
          <w:rFonts w:ascii="宋体" w:hAnsi="宋体"/>
          <w:bCs/>
          <w:color w:val="000000" w:themeColor="text1"/>
          <w:sz w:val="24"/>
          <w:highlight w:val="none"/>
          <w14:textFill>
            <w14:solidFill>
              <w14:schemeClr w14:val="tx1"/>
            </w14:solidFill>
          </w14:textFill>
        </w:rPr>
        <w:t>像面和</w:t>
      </w:r>
      <w:r>
        <w:rPr>
          <w:rFonts w:hint="eastAsia" w:ascii="宋体" w:hAnsi="宋体"/>
          <w:bCs/>
          <w:color w:val="000000" w:themeColor="text1"/>
          <w:sz w:val="24"/>
          <w:highlight w:val="none"/>
          <w14:textFill>
            <w14:solidFill>
              <w14:schemeClr w14:val="tx1"/>
            </w14:solidFill>
          </w14:textFill>
        </w:rPr>
        <w:t>国徽面)</w:t>
      </w:r>
    </w:p>
    <w:p w14:paraId="5F4FEAC5">
      <w:pPr>
        <w:topLinePunct/>
        <w:snapToGrid w:val="0"/>
        <w:spacing w:line="440" w:lineRule="exact"/>
        <w:ind w:firstLine="480" w:firstLineChars="200"/>
        <w:jc w:val="righ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17EE7EA1">
      <w:pPr>
        <w:spacing w:line="440" w:lineRule="exact"/>
        <w:ind w:firstLine="1296" w:firstLineChars="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参选人名称：</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（盖单位公章）</w:t>
      </w:r>
    </w:p>
    <w:p w14:paraId="337CB204">
      <w:pPr>
        <w:spacing w:line="440" w:lineRule="exact"/>
        <w:ind w:firstLine="1296" w:firstLineChars="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法定代表人/负责人（签字或盖章）</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51C620E3">
      <w:pPr>
        <w:topLinePunct/>
        <w:snapToGrid w:val="0"/>
        <w:spacing w:line="440" w:lineRule="exact"/>
        <w:ind w:firstLine="1296" w:firstLineChars="54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身份证号码：</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 xml:space="preserve">     </w:t>
      </w:r>
    </w:p>
    <w:p w14:paraId="38E891B6">
      <w:pPr>
        <w:topLinePunct/>
        <w:snapToGrid w:val="0"/>
        <w:spacing w:line="440" w:lineRule="exact"/>
        <w:ind w:firstLine="1296" w:firstLineChars="54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委托代理人：</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 xml:space="preserve">（签字） </w:t>
      </w:r>
    </w:p>
    <w:p w14:paraId="4D2AC683">
      <w:pPr>
        <w:topLinePunct/>
        <w:snapToGrid w:val="0"/>
        <w:spacing w:line="440" w:lineRule="exact"/>
        <w:ind w:firstLine="1296" w:firstLineChars="54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身份证号码：</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 xml:space="preserve"> </w:t>
      </w:r>
    </w:p>
    <w:p w14:paraId="7D0E6FCB">
      <w:pPr>
        <w:topLinePunct/>
        <w:snapToGrid w:val="0"/>
        <w:spacing w:line="440" w:lineRule="exact"/>
        <w:ind w:firstLine="1296" w:firstLineChars="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2DE3C7A4">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附：委托代理人身份证复印件</w:t>
      </w:r>
    </w:p>
    <w:p w14:paraId="166EB306">
      <w:pPr>
        <w:spacing w:line="440" w:lineRule="exact"/>
        <w:rPr>
          <w:rFonts w:hint="eastAsia" w:ascii="宋体" w:hAnsi="宋体"/>
          <w:color w:val="000000" w:themeColor="text1"/>
          <w:sz w:val="24"/>
          <w:highlight w:val="none"/>
          <w14:textFill>
            <w14:solidFill>
              <w14:schemeClr w14:val="tx1"/>
            </w14:solidFill>
          </w14:textFill>
        </w:rPr>
      </w:pPr>
    </w:p>
    <w:p w14:paraId="2FD6BBDB">
      <w:pPr>
        <w:spacing w:line="500" w:lineRule="exact"/>
        <w:rPr>
          <w:rFonts w:hint="eastAsia" w:ascii="宋体" w:hAnsi="宋体"/>
          <w:color w:val="000000" w:themeColor="text1"/>
          <w:sz w:val="24"/>
          <w:highlight w:val="none"/>
          <w14:textFill>
            <w14:solidFill>
              <w14:schemeClr w14:val="tx1"/>
            </w14:solidFill>
          </w14:textFill>
        </w:rPr>
      </w:pPr>
    </w:p>
    <w:p w14:paraId="5BF18FC2">
      <w:pPr>
        <w:spacing w:line="440" w:lineRule="exact"/>
        <w:rPr>
          <w:rFonts w:hint="eastAsia" w:ascii="宋体" w:hAnsi="宋体"/>
          <w:color w:val="000000" w:themeColor="text1"/>
          <w:sz w:val="24"/>
          <w:highlight w:val="none"/>
          <w14:textFill>
            <w14:solidFill>
              <w14:schemeClr w14:val="tx1"/>
            </w14:solidFill>
          </w14:textFill>
        </w:rPr>
      </w:pPr>
    </w:p>
    <w:p w14:paraId="5D24DF17">
      <w:pPr>
        <w:rPr>
          <w:rFonts w:hint="eastAsia" w:ascii="宋体" w:hAnsi="宋体"/>
          <w:color w:val="000000" w:themeColor="text1"/>
          <w:sz w:val="24"/>
          <w:highlight w:val="none"/>
          <w14:textFill>
            <w14:solidFill>
              <w14:schemeClr w14:val="tx1"/>
            </w14:solidFill>
          </w14:textFill>
        </w:rPr>
      </w:pPr>
      <w:bookmarkStart w:id="515" w:name="_Toc475472693"/>
      <w:r>
        <w:rPr>
          <w:rFonts w:hint="eastAsia" w:ascii="宋体" w:hAnsi="宋体"/>
          <w:color w:val="000000" w:themeColor="text1"/>
          <w:sz w:val="24"/>
          <w:highlight w:val="none"/>
          <w14:textFill>
            <w14:solidFill>
              <w14:schemeClr w14:val="tx1"/>
            </w14:solidFill>
          </w14:textFill>
        </w:rPr>
        <w:br w:type="page"/>
      </w:r>
    </w:p>
    <w:p w14:paraId="6A8F587C">
      <w:pPr>
        <w:pStyle w:val="35"/>
        <w:numPr>
          <w:ilvl w:val="0"/>
          <w:numId w:val="15"/>
        </w:numPr>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516" w:name="_Toc10771"/>
      <w:r>
        <w:rPr>
          <w:rFonts w:hint="eastAsia" w:ascii="宋体" w:hAnsi="宋体"/>
          <w:color w:val="000000" w:themeColor="text1"/>
          <w:sz w:val="24"/>
          <w:szCs w:val="24"/>
          <w:highlight w:val="none"/>
          <w14:textFill>
            <w14:solidFill>
              <w14:schemeClr w14:val="tx1"/>
            </w14:solidFill>
          </w14:textFill>
        </w:rPr>
        <w:t>要求参选人提供的其他文件</w:t>
      </w:r>
      <w:bookmarkEnd w:id="516"/>
    </w:p>
    <w:p w14:paraId="184272CD">
      <w:pPr>
        <w:rPr>
          <w:color w:val="000000" w:themeColor="text1"/>
          <w:sz w:val="24"/>
          <w:highlight w:val="none"/>
          <w14:textFill>
            <w14:solidFill>
              <w14:schemeClr w14:val="tx1"/>
            </w14:solidFill>
          </w14:textFill>
        </w:rPr>
      </w:pPr>
    </w:p>
    <w:p w14:paraId="483AEF93">
      <w:pPr>
        <w:pStyle w:val="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如营业执照、财务情况表、相关服务团队人员资料信息等</w:t>
      </w:r>
    </w:p>
    <w:bookmarkEnd w:id="515"/>
    <w:p w14:paraId="1805B0B9">
      <w:pPr>
        <w:pStyle w:val="35"/>
        <w:numPr>
          <w:ilvl w:val="0"/>
          <w:numId w:val="15"/>
        </w:numPr>
        <w:tabs>
          <w:tab w:val="left" w:pos="588"/>
        </w:tabs>
        <w:snapToGrid w:val="0"/>
        <w:spacing w:before="120" w:after="120" w:line="440" w:lineRule="exact"/>
        <w:jc w:val="left"/>
        <w:rPr>
          <w:color w:val="000000" w:themeColor="text1"/>
          <w:sz w:val="24"/>
          <w:szCs w:val="24"/>
          <w:highlight w:val="none"/>
          <w14:textFill>
            <w14:solidFill>
              <w14:schemeClr w14:val="tx1"/>
            </w14:solidFill>
          </w14:textFill>
        </w:rPr>
        <w:sectPr>
          <w:pgSz w:w="11906" w:h="16838"/>
          <w:pgMar w:top="1440" w:right="1797" w:bottom="1440" w:left="1797" w:header="851" w:footer="992" w:gutter="0"/>
          <w:cols w:space="720" w:num="1"/>
          <w:docGrid w:type="lines" w:linePitch="312" w:charSpace="0"/>
        </w:sectPr>
      </w:pPr>
      <w:bookmarkStart w:id="517" w:name="_Toc520212861"/>
      <w:bookmarkStart w:id="518" w:name="_Toc19644"/>
    </w:p>
    <w:p w14:paraId="2D596646">
      <w:pPr>
        <w:pStyle w:val="35"/>
        <w:numPr>
          <w:ilvl w:val="0"/>
          <w:numId w:val="15"/>
        </w:numPr>
        <w:tabs>
          <w:tab w:val="left" w:pos="588"/>
        </w:tabs>
        <w:snapToGrid w:val="0"/>
        <w:spacing w:before="120" w:after="120" w:line="440" w:lineRule="exact"/>
        <w:jc w:val="left"/>
        <w:rPr>
          <w:rFonts w:hint="eastAsia" w:ascii="宋体" w:hAnsi="宋体"/>
          <w:color w:val="000000" w:themeColor="text1"/>
          <w:sz w:val="24"/>
          <w:szCs w:val="24"/>
          <w:highlight w:val="none"/>
          <w14:textFill>
            <w14:solidFill>
              <w14:schemeClr w14:val="tx1"/>
            </w14:solidFill>
          </w14:textFill>
        </w:rPr>
      </w:pPr>
      <w:bookmarkStart w:id="519" w:name="_Toc10167"/>
      <w:r>
        <w:rPr>
          <w:rFonts w:hint="eastAsia" w:ascii="宋体" w:hAnsi="宋体"/>
          <w:color w:val="000000" w:themeColor="text1"/>
          <w:sz w:val="24"/>
          <w:szCs w:val="24"/>
          <w:highlight w:val="none"/>
          <w14:textFill>
            <w14:solidFill>
              <w14:schemeClr w14:val="tx1"/>
            </w14:solidFill>
          </w14:textFill>
        </w:rPr>
        <w:t>参选一览表</w:t>
      </w:r>
      <w:bookmarkEnd w:id="517"/>
      <w:bookmarkEnd w:id="518"/>
      <w:bookmarkEnd w:id="519"/>
    </w:p>
    <w:p w14:paraId="59B566B1">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参选一览表</w:t>
      </w:r>
    </w:p>
    <w:p w14:paraId="1F317749">
      <w:pPr>
        <w:widowControl/>
        <w:rPr>
          <w:rFonts w:hint="eastAsia" w:ascii="宋体" w:hAnsi="宋体" w:cs="宋体"/>
          <w:color w:val="000000" w:themeColor="text1"/>
          <w:sz w:val="24"/>
          <w:highlight w:val="none"/>
          <w14:textFill>
            <w14:solidFill>
              <w14:schemeClr w14:val="tx1"/>
            </w14:solidFill>
          </w14:textFill>
        </w:rPr>
      </w:pPr>
    </w:p>
    <w:p w14:paraId="47B9DCF9">
      <w:pPr>
        <w:snapToGrid w:val="0"/>
        <w:spacing w:line="44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重庆自然博物馆室外停车场合作经营项目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单位：元人民币</w:t>
      </w:r>
    </w:p>
    <w:p w14:paraId="405F11CD">
      <w:pPr>
        <w:pStyle w:val="16"/>
        <w:rPr>
          <w:color w:val="000000" w:themeColor="text1"/>
          <w:highlight w:val="none"/>
          <w14:textFill>
            <w14:solidFill>
              <w14:schemeClr w14:val="tx1"/>
            </w14:solidFill>
          </w14:textFill>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4"/>
        <w:gridCol w:w="2816"/>
        <w:gridCol w:w="3070"/>
        <w:gridCol w:w="1570"/>
      </w:tblGrid>
      <w:tr w14:paraId="4573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4" w:hRule="atLeast"/>
          <w:jc w:val="center"/>
        </w:trPr>
        <w:tc>
          <w:tcPr>
            <w:tcW w:w="874" w:type="dxa"/>
            <w:vAlign w:val="center"/>
          </w:tcPr>
          <w:p w14:paraId="1A3ABB0B">
            <w:pPr>
              <w:widowControl/>
              <w:spacing w:before="240" w:after="240"/>
              <w:jc w:val="center"/>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序号</w:t>
            </w:r>
          </w:p>
        </w:tc>
        <w:tc>
          <w:tcPr>
            <w:tcW w:w="2816" w:type="dxa"/>
            <w:vAlign w:val="center"/>
          </w:tcPr>
          <w:p w14:paraId="5A26591B">
            <w:pPr>
              <w:widowControl/>
              <w:spacing w:before="240" w:after="240"/>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3070" w:type="dxa"/>
            <w:vAlign w:val="center"/>
          </w:tcPr>
          <w:p w14:paraId="0C353EEC">
            <w:pPr>
              <w:widowControl/>
              <w:spacing w:before="240" w:after="240"/>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w:t>
            </w:r>
          </w:p>
        </w:tc>
        <w:tc>
          <w:tcPr>
            <w:tcW w:w="1570" w:type="dxa"/>
            <w:vAlign w:val="center"/>
          </w:tcPr>
          <w:p w14:paraId="71BB9C9A">
            <w:pPr>
              <w:widowControl/>
              <w:spacing w:before="240" w:after="240"/>
              <w:jc w:val="center"/>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备注</w:t>
            </w:r>
          </w:p>
        </w:tc>
      </w:tr>
      <w:tr w14:paraId="7426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7" w:hRule="atLeast"/>
          <w:jc w:val="center"/>
        </w:trPr>
        <w:tc>
          <w:tcPr>
            <w:tcW w:w="874" w:type="dxa"/>
            <w:vAlign w:val="center"/>
          </w:tcPr>
          <w:p w14:paraId="03D8EC8E">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816" w:type="dxa"/>
            <w:vAlign w:val="center"/>
          </w:tcPr>
          <w:p w14:paraId="33F7ADFF">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重庆自然博物馆室外停车场合作经营项目</w:t>
            </w:r>
          </w:p>
        </w:tc>
        <w:tc>
          <w:tcPr>
            <w:tcW w:w="3070" w:type="dxa"/>
            <w:vAlign w:val="center"/>
          </w:tcPr>
          <w:p w14:paraId="3FDAE222">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合作经营费【      】</w:t>
            </w:r>
            <w:r>
              <w:rPr>
                <w:rFonts w:hint="eastAsia" w:ascii="宋体" w:hAnsi="宋体" w:cs="宋体"/>
                <w:b/>
                <w:color w:val="000000" w:themeColor="text1"/>
                <w:sz w:val="24"/>
                <w:highlight w:val="none"/>
                <w14:textFill>
                  <w14:solidFill>
                    <w14:schemeClr w14:val="tx1"/>
                  </w14:solidFill>
                </w14:textFill>
              </w:rPr>
              <w:t>元/年</w:t>
            </w:r>
          </w:p>
        </w:tc>
        <w:tc>
          <w:tcPr>
            <w:tcW w:w="1570" w:type="dxa"/>
            <w:vAlign w:val="center"/>
          </w:tcPr>
          <w:p w14:paraId="4B220BAA">
            <w:pPr>
              <w:widowControl/>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每年按报价金额向比选人支付合作经营费金额，同时自负盈亏。</w:t>
            </w:r>
          </w:p>
        </w:tc>
      </w:tr>
    </w:tbl>
    <w:p w14:paraId="0032671E">
      <w:pPr>
        <w:spacing w:line="440" w:lineRule="exact"/>
        <w:ind w:firstLine="424" w:firstLineChars="177"/>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最终每年缴纳的合作经营费以参选且中选方响应文件填报价格为准。同时本次比选标的为比选人预计在服务期内可能发生的盈利项目预估，并不作为比选人向参选人作出的具体项目盈利的承诺，如在合作服务期内中选人未获得足额盈利，其停车场使用者付费收入应优先保证比选人利益且不构成比选人违约，中选人不得追究比选人违约责任。潜在参选人应充分了解本次比选项目的相关风险，结合自身实力慎重参与比选竞争。如参选人不同意此条款，则参选人应书面告知比选人，并退出本项目的比选）</w:t>
      </w:r>
    </w:p>
    <w:p w14:paraId="28AA8F4A">
      <w:pPr>
        <w:pStyle w:val="16"/>
        <w:rPr>
          <w:color w:val="000000" w:themeColor="text1"/>
          <w:highlight w:val="none"/>
          <w14:textFill>
            <w14:solidFill>
              <w14:schemeClr w14:val="tx1"/>
            </w14:solidFill>
          </w14:textFill>
        </w:rPr>
      </w:pPr>
    </w:p>
    <w:p w14:paraId="3247D5DD">
      <w:pPr>
        <w:spacing w:line="440" w:lineRule="exact"/>
        <w:ind w:firstLine="1296" w:firstLineChars="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参选人名称：</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（盖单位公章）</w:t>
      </w:r>
    </w:p>
    <w:p w14:paraId="08E44832">
      <w:pPr>
        <w:spacing w:line="440" w:lineRule="exact"/>
        <w:ind w:right="960" w:firstLine="566" w:firstLineChars="236"/>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法定代表人/负责人（签字或盖章）</w:t>
      </w:r>
      <w:r>
        <w:rPr>
          <w:rFonts w:ascii="宋体" w:hAnsi="宋体"/>
          <w:color w:val="000000" w:themeColor="text1"/>
          <w:sz w:val="24"/>
          <w:highlight w:val="none"/>
          <w14:textFill>
            <w14:solidFill>
              <w14:schemeClr w14:val="tx1"/>
            </w14:solidFill>
          </w14:textFill>
        </w:rPr>
        <w:t>或者其委托代理人</w:t>
      </w:r>
      <w:r>
        <w:rPr>
          <w:rFonts w:hint="eastAsia" w:ascii="宋体" w:hAnsi="宋体"/>
          <w:color w:val="000000" w:themeColor="text1"/>
          <w:sz w:val="24"/>
          <w:highlight w:val="none"/>
          <w14:textFill>
            <w14:solidFill>
              <w14:schemeClr w14:val="tx1"/>
            </w14:solidFill>
          </w14:textFill>
        </w:rPr>
        <w:t>（签字）</w:t>
      </w:r>
      <w:r>
        <w:rPr>
          <w:rFonts w:ascii="宋体" w:hAnsi="宋体"/>
          <w:color w:val="000000" w:themeColor="text1"/>
          <w:sz w:val="24"/>
          <w:highlight w:val="none"/>
          <w14:textFill>
            <w14:solidFill>
              <w14:schemeClr w14:val="tx1"/>
            </w14:solidFill>
          </w14:textFill>
        </w:rPr>
        <w:t>：</w:t>
      </w:r>
    </w:p>
    <w:p w14:paraId="38B24F86">
      <w:pPr>
        <w:snapToGrid w:val="0"/>
        <w:spacing w:line="440" w:lineRule="exact"/>
        <w:ind w:firstLine="1296" w:firstLineChars="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BA1ABB6">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74452B66">
      <w:pPr>
        <w:pStyle w:val="35"/>
        <w:numPr>
          <w:ilvl w:val="0"/>
          <w:numId w:val="15"/>
        </w:numPr>
        <w:tabs>
          <w:tab w:val="left" w:pos="588"/>
        </w:tabs>
        <w:snapToGrid w:val="0"/>
        <w:spacing w:before="120" w:after="120" w:line="440" w:lineRule="exact"/>
        <w:rPr>
          <w:rFonts w:hint="eastAsia" w:ascii="宋体" w:hAnsi="宋体"/>
          <w:color w:val="000000" w:themeColor="text1"/>
          <w:sz w:val="24"/>
          <w:szCs w:val="24"/>
          <w:highlight w:val="none"/>
          <w14:textFill>
            <w14:solidFill>
              <w14:schemeClr w14:val="tx1"/>
            </w14:solidFill>
          </w14:textFill>
        </w:rPr>
      </w:pPr>
      <w:bookmarkStart w:id="520" w:name="_Toc1919"/>
      <w:r>
        <w:rPr>
          <w:rFonts w:hint="eastAsia" w:ascii="宋体" w:hAnsi="宋体"/>
          <w:color w:val="000000" w:themeColor="text1"/>
          <w:sz w:val="24"/>
          <w:szCs w:val="24"/>
          <w:highlight w:val="none"/>
          <w14:textFill>
            <w14:solidFill>
              <w14:schemeClr w14:val="tx1"/>
            </w14:solidFill>
          </w14:textFill>
        </w:rPr>
        <w:t>技术部分</w:t>
      </w:r>
      <w:bookmarkEnd w:id="520"/>
    </w:p>
    <w:p w14:paraId="1C9ED06F">
      <w:pPr>
        <w:rPr>
          <w:rFonts w:hint="eastAsia" w:ascii="宋体" w:hAnsi="宋体"/>
          <w:color w:val="000000" w:themeColor="text1"/>
          <w:sz w:val="24"/>
          <w:highlight w:val="none"/>
          <w14:textFill>
            <w14:solidFill>
              <w14:schemeClr w14:val="tx1"/>
            </w14:solidFill>
          </w14:textFill>
        </w:rPr>
      </w:pPr>
    </w:p>
    <w:p w14:paraId="13AEE6DA">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37DAF956">
      <w:pPr>
        <w:pStyle w:val="35"/>
        <w:numPr>
          <w:ilvl w:val="0"/>
          <w:numId w:val="15"/>
        </w:numPr>
        <w:tabs>
          <w:tab w:val="left" w:pos="588"/>
        </w:tabs>
        <w:snapToGrid w:val="0"/>
        <w:spacing w:before="120" w:after="120" w:line="440" w:lineRule="exact"/>
        <w:rPr>
          <w:rFonts w:hint="eastAsia" w:ascii="宋体" w:hAnsi="宋体"/>
          <w:color w:val="000000" w:themeColor="text1"/>
          <w:sz w:val="24"/>
          <w:szCs w:val="24"/>
          <w:highlight w:val="none"/>
          <w14:textFill>
            <w14:solidFill>
              <w14:schemeClr w14:val="tx1"/>
            </w14:solidFill>
          </w14:textFill>
        </w:rPr>
      </w:pPr>
      <w:bookmarkStart w:id="521" w:name="_Toc10548"/>
      <w:r>
        <w:rPr>
          <w:rFonts w:hint="eastAsia" w:ascii="宋体" w:hAnsi="宋体"/>
          <w:color w:val="000000" w:themeColor="text1"/>
          <w:sz w:val="24"/>
          <w:szCs w:val="24"/>
          <w:highlight w:val="none"/>
          <w14:textFill>
            <w14:solidFill>
              <w14:schemeClr w14:val="tx1"/>
            </w14:solidFill>
          </w14:textFill>
        </w:rPr>
        <w:t>商务部分</w:t>
      </w:r>
      <w:bookmarkEnd w:id="521"/>
    </w:p>
    <w:p w14:paraId="669C1E4C">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0E434372">
      <w:pPr>
        <w:snapToGrid w:val="0"/>
        <w:spacing w:line="440" w:lineRule="exact"/>
        <w:ind w:firstLine="1296" w:firstLineChars="540"/>
        <w:jc w:val="right"/>
        <w:rPr>
          <w:rFonts w:hint="eastAsia" w:ascii="宋体" w:hAnsi="宋体"/>
          <w:color w:val="000000" w:themeColor="text1"/>
          <w:sz w:val="24"/>
          <w:highlight w:val="none"/>
          <w14:textFill>
            <w14:solidFill>
              <w14:schemeClr w14:val="tx1"/>
            </w14:solidFill>
          </w14:textFill>
        </w:rPr>
        <w:sectPr>
          <w:pgSz w:w="11906" w:h="16838"/>
          <w:pgMar w:top="1440" w:right="1797" w:bottom="1440" w:left="1797" w:header="851" w:footer="992" w:gutter="0"/>
          <w:cols w:space="720" w:num="1"/>
          <w:docGrid w:type="lines" w:linePitch="312" w:charSpace="0"/>
        </w:sectPr>
      </w:pPr>
    </w:p>
    <w:p w14:paraId="457F2D3A">
      <w:pPr>
        <w:widowControl/>
        <w:jc w:val="left"/>
        <w:rPr>
          <w:rFonts w:hint="eastAsia" w:ascii="宋体" w:hAnsi="宋体"/>
          <w:color w:val="000000" w:themeColor="text1"/>
          <w:sz w:val="24"/>
          <w:highlight w:val="none"/>
          <w14:textFill>
            <w14:solidFill>
              <w14:schemeClr w14:val="tx1"/>
            </w14:solidFill>
          </w14:textFill>
        </w:rPr>
      </w:pPr>
    </w:p>
    <w:p w14:paraId="3AF6E87B">
      <w:pPr>
        <w:jc w:val="left"/>
        <w:rPr>
          <w:rFonts w:hint="eastAsia" w:ascii="仿宋" w:hAnsi="仿宋" w:eastAsia="仿宋" w:cs="仿宋"/>
          <w:color w:val="000000" w:themeColor="text1"/>
          <w:sz w:val="24"/>
          <w:highlight w:val="none"/>
          <w14:textFill>
            <w14:solidFill>
              <w14:schemeClr w14:val="tx1"/>
            </w14:solidFill>
          </w14:textFill>
        </w:rPr>
      </w:pPr>
      <w:r>
        <w:rPr>
          <w:rFonts w:hint="eastAsia" w:eastAsia="黑体"/>
          <w:b/>
          <w:bCs/>
          <w:color w:val="000000" w:themeColor="text1"/>
          <w:sz w:val="44"/>
          <w:szCs w:val="44"/>
          <w:highlight w:val="none"/>
          <w14:textFill>
            <w14:solidFill>
              <w14:schemeClr w14:val="tx1"/>
            </w14:solidFill>
          </w14:textFill>
        </w:rPr>
        <w:t>附件：</w:t>
      </w:r>
    </w:p>
    <w:p w14:paraId="2D418B6E">
      <w:pPr>
        <w:jc w:val="center"/>
        <w:rPr>
          <w:rFonts w:eastAsia="黑体"/>
          <w:b/>
          <w:bCs/>
          <w:color w:val="000000" w:themeColor="text1"/>
          <w:sz w:val="44"/>
          <w:szCs w:val="44"/>
          <w:highlight w:val="none"/>
          <w14:textFill>
            <w14:solidFill>
              <w14:schemeClr w14:val="tx1"/>
            </w14:solidFill>
          </w14:textFill>
        </w:rPr>
      </w:pPr>
      <w:r>
        <w:rPr>
          <w:rFonts w:hint="eastAsia" w:eastAsia="黑体"/>
          <w:b/>
          <w:bCs/>
          <w:color w:val="000000" w:themeColor="text1"/>
          <w:sz w:val="44"/>
          <w:szCs w:val="44"/>
          <w:highlight w:val="none"/>
          <w14:textFill>
            <w14:solidFill>
              <w14:schemeClr w14:val="tx1"/>
            </w14:solidFill>
          </w14:textFill>
        </w:rPr>
        <w:t>竞争性比选</w:t>
      </w:r>
      <w:bookmarkStart w:id="522" w:name="_GoBack"/>
      <w:bookmarkEnd w:id="522"/>
      <w:r>
        <w:rPr>
          <w:rFonts w:hint="eastAsia" w:eastAsia="黑体"/>
          <w:b/>
          <w:bCs/>
          <w:color w:val="000000" w:themeColor="text1"/>
          <w:sz w:val="44"/>
          <w:szCs w:val="44"/>
          <w:highlight w:val="none"/>
          <w14:textFill>
            <w14:solidFill>
              <w14:schemeClr w14:val="tx1"/>
            </w14:solidFill>
          </w14:textFill>
        </w:rPr>
        <w:t>文件登记表</w:t>
      </w:r>
    </w:p>
    <w:p w14:paraId="468EBF25">
      <w:pPr>
        <w:jc w:val="left"/>
        <w:rPr>
          <w:rFonts w:eastAsia="黑体"/>
          <w:b/>
          <w:bCs/>
          <w:color w:val="000000" w:themeColor="text1"/>
          <w:spacing w:val="40"/>
          <w:highlight w:val="none"/>
          <w14:textFill>
            <w14:solidFill>
              <w14:schemeClr w14:val="tx1"/>
            </w14:solidFill>
          </w14:textFill>
        </w:rPr>
      </w:pPr>
    </w:p>
    <w:tbl>
      <w:tblPr>
        <w:tblStyle w:val="38"/>
        <w:tblW w:w="93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896"/>
        <w:gridCol w:w="1260"/>
        <w:gridCol w:w="4410"/>
      </w:tblGrid>
      <w:tr w14:paraId="150801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756" w:type="dxa"/>
            <w:vAlign w:val="center"/>
          </w:tcPr>
          <w:p w14:paraId="6D47D384">
            <w:pPr>
              <w:jc w:val="center"/>
              <w:rPr>
                <w:rFonts w:hint="eastAsia"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项目编号</w:t>
            </w:r>
          </w:p>
        </w:tc>
        <w:tc>
          <w:tcPr>
            <w:tcW w:w="7566" w:type="dxa"/>
            <w:gridSpan w:val="3"/>
            <w:vAlign w:val="center"/>
          </w:tcPr>
          <w:p w14:paraId="778A706D">
            <w:pPr>
              <w:jc w:val="center"/>
              <w:rPr>
                <w:rFonts w:hint="eastAsia" w:ascii="宋体" w:hAnsi="宋体"/>
                <w:color w:val="000000" w:themeColor="text1"/>
                <w:szCs w:val="28"/>
                <w:highlight w:val="none"/>
                <w14:textFill>
                  <w14:solidFill>
                    <w14:schemeClr w14:val="tx1"/>
                  </w14:solidFill>
                </w14:textFill>
              </w:rPr>
            </w:pPr>
          </w:p>
        </w:tc>
      </w:tr>
      <w:tr w14:paraId="0306DD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56" w:type="dxa"/>
            <w:vAlign w:val="center"/>
          </w:tcPr>
          <w:p w14:paraId="6F1B637E">
            <w:pPr>
              <w:jc w:val="center"/>
              <w:rPr>
                <w:rFonts w:hint="eastAsia"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项目名称</w:t>
            </w:r>
          </w:p>
        </w:tc>
        <w:tc>
          <w:tcPr>
            <w:tcW w:w="7566" w:type="dxa"/>
            <w:gridSpan w:val="3"/>
            <w:vAlign w:val="center"/>
          </w:tcPr>
          <w:p w14:paraId="08C4DAB4">
            <w:pPr>
              <w:jc w:val="center"/>
              <w:rPr>
                <w:rFonts w:hint="eastAsia" w:ascii="宋体" w:hAnsi="宋体"/>
                <w:color w:val="000000" w:themeColor="text1"/>
                <w:szCs w:val="28"/>
                <w:highlight w:val="none"/>
                <w14:textFill>
                  <w14:solidFill>
                    <w14:schemeClr w14:val="tx1"/>
                  </w14:solidFill>
                </w14:textFill>
              </w:rPr>
            </w:pPr>
          </w:p>
        </w:tc>
      </w:tr>
      <w:tr w14:paraId="27A219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6" w:type="dxa"/>
            <w:vAlign w:val="center"/>
          </w:tcPr>
          <w:p w14:paraId="3972BE64">
            <w:pPr>
              <w:jc w:val="center"/>
              <w:rPr>
                <w:rFonts w:hint="eastAsia"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参选人名称</w:t>
            </w:r>
          </w:p>
        </w:tc>
        <w:tc>
          <w:tcPr>
            <w:tcW w:w="7566" w:type="dxa"/>
            <w:gridSpan w:val="3"/>
            <w:vAlign w:val="bottom"/>
          </w:tcPr>
          <w:p w14:paraId="01FED0EF">
            <w:pPr>
              <w:wordWrap w:val="0"/>
              <w:jc w:val="right"/>
              <w:rPr>
                <w:rFonts w:hint="eastAsia"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 xml:space="preserve"> </w:t>
            </w:r>
          </w:p>
        </w:tc>
      </w:tr>
      <w:tr w14:paraId="3FEE4B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56" w:type="dxa"/>
            <w:vAlign w:val="center"/>
          </w:tcPr>
          <w:p w14:paraId="10C09657">
            <w:pPr>
              <w:jc w:val="center"/>
              <w:rPr>
                <w:rFonts w:hint="eastAsia"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联系人</w:t>
            </w:r>
          </w:p>
        </w:tc>
        <w:tc>
          <w:tcPr>
            <w:tcW w:w="1896" w:type="dxa"/>
            <w:vAlign w:val="center"/>
          </w:tcPr>
          <w:p w14:paraId="47543576">
            <w:pPr>
              <w:jc w:val="left"/>
              <w:rPr>
                <w:rFonts w:hint="eastAsia" w:ascii="宋体" w:hAnsi="宋体"/>
                <w:color w:val="000000" w:themeColor="text1"/>
                <w:szCs w:val="28"/>
                <w:highlight w:val="none"/>
                <w14:textFill>
                  <w14:solidFill>
                    <w14:schemeClr w14:val="tx1"/>
                  </w14:solidFill>
                </w14:textFill>
              </w:rPr>
            </w:pPr>
          </w:p>
        </w:tc>
        <w:tc>
          <w:tcPr>
            <w:tcW w:w="1260" w:type="dxa"/>
            <w:vAlign w:val="center"/>
          </w:tcPr>
          <w:p w14:paraId="0493D001">
            <w:pPr>
              <w:jc w:val="left"/>
              <w:rPr>
                <w:rFonts w:hint="eastAsia"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手机</w:t>
            </w:r>
          </w:p>
        </w:tc>
        <w:tc>
          <w:tcPr>
            <w:tcW w:w="4410" w:type="dxa"/>
            <w:vAlign w:val="center"/>
          </w:tcPr>
          <w:p w14:paraId="359F6B90">
            <w:pPr>
              <w:jc w:val="left"/>
              <w:rPr>
                <w:rFonts w:hint="eastAsia" w:ascii="宋体" w:hAnsi="宋体"/>
                <w:color w:val="000000" w:themeColor="text1"/>
                <w:szCs w:val="28"/>
                <w:highlight w:val="none"/>
                <w14:textFill>
                  <w14:solidFill>
                    <w14:schemeClr w14:val="tx1"/>
                  </w14:solidFill>
                </w14:textFill>
              </w:rPr>
            </w:pPr>
          </w:p>
        </w:tc>
      </w:tr>
      <w:tr w14:paraId="4DF351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56" w:type="dxa"/>
            <w:vAlign w:val="center"/>
          </w:tcPr>
          <w:p w14:paraId="33DEE52B">
            <w:pPr>
              <w:jc w:val="center"/>
              <w:rPr>
                <w:rFonts w:hint="eastAsia"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办公电话</w:t>
            </w:r>
          </w:p>
        </w:tc>
        <w:tc>
          <w:tcPr>
            <w:tcW w:w="1896" w:type="dxa"/>
            <w:vAlign w:val="center"/>
          </w:tcPr>
          <w:p w14:paraId="090A7977">
            <w:pPr>
              <w:jc w:val="left"/>
              <w:rPr>
                <w:rFonts w:hint="eastAsia" w:ascii="宋体" w:hAnsi="宋体"/>
                <w:color w:val="000000" w:themeColor="text1"/>
                <w:szCs w:val="28"/>
                <w:highlight w:val="none"/>
                <w14:textFill>
                  <w14:solidFill>
                    <w14:schemeClr w14:val="tx1"/>
                  </w14:solidFill>
                </w14:textFill>
              </w:rPr>
            </w:pPr>
          </w:p>
        </w:tc>
        <w:tc>
          <w:tcPr>
            <w:tcW w:w="1260" w:type="dxa"/>
            <w:vAlign w:val="center"/>
          </w:tcPr>
          <w:p w14:paraId="71E291B6">
            <w:pPr>
              <w:jc w:val="left"/>
              <w:rPr>
                <w:rFonts w:hint="eastAsia"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传真</w:t>
            </w:r>
          </w:p>
        </w:tc>
        <w:tc>
          <w:tcPr>
            <w:tcW w:w="4410" w:type="dxa"/>
            <w:vAlign w:val="center"/>
          </w:tcPr>
          <w:p w14:paraId="1BFCD7E6">
            <w:pPr>
              <w:jc w:val="left"/>
              <w:rPr>
                <w:rFonts w:hint="eastAsia" w:ascii="宋体" w:hAnsi="宋体"/>
                <w:color w:val="000000" w:themeColor="text1"/>
                <w:szCs w:val="28"/>
                <w:highlight w:val="none"/>
                <w14:textFill>
                  <w14:solidFill>
                    <w14:schemeClr w14:val="tx1"/>
                  </w14:solidFill>
                </w14:textFill>
              </w:rPr>
            </w:pPr>
          </w:p>
        </w:tc>
      </w:tr>
      <w:tr w14:paraId="0C5559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56" w:type="dxa"/>
            <w:vAlign w:val="center"/>
          </w:tcPr>
          <w:p w14:paraId="0A989E26">
            <w:pPr>
              <w:jc w:val="center"/>
              <w:rPr>
                <w:rFonts w:hint="eastAsia"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E-mail</w:t>
            </w:r>
          </w:p>
        </w:tc>
        <w:tc>
          <w:tcPr>
            <w:tcW w:w="7566" w:type="dxa"/>
            <w:gridSpan w:val="3"/>
            <w:vAlign w:val="center"/>
          </w:tcPr>
          <w:p w14:paraId="1BF7CBE2">
            <w:pPr>
              <w:jc w:val="left"/>
              <w:rPr>
                <w:rFonts w:hint="eastAsia" w:ascii="宋体" w:hAnsi="宋体"/>
                <w:color w:val="000000" w:themeColor="text1"/>
                <w:szCs w:val="28"/>
                <w:highlight w:val="none"/>
                <w14:textFill>
                  <w14:solidFill>
                    <w14:schemeClr w14:val="tx1"/>
                  </w14:solidFill>
                </w14:textFill>
              </w:rPr>
            </w:pPr>
          </w:p>
        </w:tc>
      </w:tr>
      <w:tr w14:paraId="2A71F7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756" w:type="dxa"/>
            <w:vAlign w:val="center"/>
          </w:tcPr>
          <w:p w14:paraId="41629F88">
            <w:pPr>
              <w:jc w:val="center"/>
              <w:rPr>
                <w:rFonts w:hint="eastAsia"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单位地址</w:t>
            </w:r>
          </w:p>
        </w:tc>
        <w:tc>
          <w:tcPr>
            <w:tcW w:w="7566" w:type="dxa"/>
            <w:gridSpan w:val="3"/>
            <w:vAlign w:val="center"/>
          </w:tcPr>
          <w:p w14:paraId="7F8EF5A0">
            <w:pPr>
              <w:jc w:val="left"/>
              <w:rPr>
                <w:rFonts w:hint="eastAsia" w:ascii="宋体" w:hAnsi="宋体"/>
                <w:color w:val="000000" w:themeColor="text1"/>
                <w:szCs w:val="28"/>
                <w:highlight w:val="none"/>
                <w14:textFill>
                  <w14:solidFill>
                    <w14:schemeClr w14:val="tx1"/>
                  </w14:solidFill>
                </w14:textFill>
              </w:rPr>
            </w:pPr>
          </w:p>
        </w:tc>
      </w:tr>
      <w:tr w14:paraId="114143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22" w:type="dxa"/>
            <w:gridSpan w:val="4"/>
            <w:vAlign w:val="center"/>
          </w:tcPr>
          <w:p w14:paraId="712E1DFC">
            <w:pPr>
              <w:jc w:val="center"/>
              <w:rPr>
                <w:rFonts w:hint="eastAsia" w:ascii="宋体" w:hAnsi="宋体"/>
                <w:b/>
                <w:color w:val="000000" w:themeColor="text1"/>
                <w:szCs w:val="28"/>
                <w:highlight w:val="none"/>
                <w14:textFill>
                  <w14:solidFill>
                    <w14:schemeClr w14:val="tx1"/>
                  </w14:solidFill>
                </w14:textFill>
              </w:rPr>
            </w:pPr>
            <w:r>
              <w:rPr>
                <w:rFonts w:hint="eastAsia" w:ascii="宋体" w:hAnsi="宋体"/>
                <w:bCs/>
                <w:color w:val="000000" w:themeColor="text1"/>
                <w:szCs w:val="28"/>
                <w:highlight w:val="none"/>
                <w14:textFill>
                  <w14:solidFill>
                    <w14:schemeClr w14:val="tx1"/>
                  </w14:solidFill>
                </w14:textFill>
              </w:rPr>
              <w:t xml:space="preserve">竞争性比选文件提供期限：  年  月  日-年  月  日  </w:t>
            </w:r>
          </w:p>
        </w:tc>
      </w:tr>
      <w:tr w14:paraId="42A79B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vAlign w:val="center"/>
          </w:tcPr>
          <w:p w14:paraId="0FC2E3BE">
            <w:pPr>
              <w:jc w:val="center"/>
              <w:rPr>
                <w:rFonts w:hint="eastAsia"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分包号及分包名称（如无分包，则不用填写）</w:t>
            </w:r>
          </w:p>
        </w:tc>
      </w:tr>
      <w:tr w14:paraId="3E94AE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vAlign w:val="center"/>
          </w:tcPr>
          <w:p w14:paraId="32F365C9">
            <w:pPr>
              <w:jc w:val="center"/>
              <w:rPr>
                <w:rFonts w:hint="eastAsia"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w:t>
            </w:r>
          </w:p>
        </w:tc>
      </w:tr>
      <w:tr w14:paraId="40FA39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vAlign w:val="center"/>
          </w:tcPr>
          <w:p w14:paraId="6900062F">
            <w:pPr>
              <w:jc w:val="left"/>
              <w:rPr>
                <w:rFonts w:hint="eastAsia" w:ascii="宋体" w:hAnsi="宋体"/>
                <w:color w:val="000000" w:themeColor="text1"/>
                <w:szCs w:val="28"/>
                <w:highlight w:val="none"/>
                <w14:textFill>
                  <w14:solidFill>
                    <w14:schemeClr w14:val="tx1"/>
                  </w14:solidFill>
                </w14:textFill>
              </w:rPr>
            </w:pPr>
          </w:p>
        </w:tc>
      </w:tr>
      <w:tr w14:paraId="00612E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vAlign w:val="center"/>
          </w:tcPr>
          <w:p w14:paraId="5A7CCA13">
            <w:pPr>
              <w:jc w:val="left"/>
              <w:rPr>
                <w:rFonts w:hint="eastAsia" w:ascii="宋体" w:hAnsi="宋体"/>
                <w:color w:val="000000" w:themeColor="text1"/>
                <w:sz w:val="30"/>
                <w:szCs w:val="30"/>
                <w:highlight w:val="none"/>
                <w14:textFill>
                  <w14:solidFill>
                    <w14:schemeClr w14:val="tx1"/>
                  </w14:solidFill>
                </w14:textFill>
              </w:rPr>
            </w:pPr>
          </w:p>
        </w:tc>
      </w:tr>
      <w:tr w14:paraId="61EB28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vAlign w:val="center"/>
          </w:tcPr>
          <w:p w14:paraId="2B39C299">
            <w:pPr>
              <w:jc w:val="left"/>
              <w:rPr>
                <w:rFonts w:hint="eastAsia" w:ascii="宋体" w:hAnsi="宋体"/>
                <w:color w:val="000000" w:themeColor="text1"/>
                <w:sz w:val="30"/>
                <w:szCs w:val="30"/>
                <w:highlight w:val="none"/>
                <w14:textFill>
                  <w14:solidFill>
                    <w14:schemeClr w14:val="tx1"/>
                  </w14:solidFill>
                </w14:textFill>
              </w:rPr>
            </w:pPr>
          </w:p>
        </w:tc>
      </w:tr>
      <w:tr w14:paraId="1C1577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vAlign w:val="center"/>
          </w:tcPr>
          <w:p w14:paraId="1587F6D8">
            <w:pPr>
              <w:jc w:val="left"/>
              <w:rPr>
                <w:rFonts w:hint="eastAsia" w:ascii="宋体" w:hAnsi="宋体"/>
                <w:color w:val="000000" w:themeColor="text1"/>
                <w:sz w:val="30"/>
                <w:szCs w:val="30"/>
                <w:highlight w:val="none"/>
                <w14:textFill>
                  <w14:solidFill>
                    <w14:schemeClr w14:val="tx1"/>
                  </w14:solidFill>
                </w14:textFill>
              </w:rPr>
            </w:pPr>
          </w:p>
        </w:tc>
      </w:tr>
      <w:tr w14:paraId="30BE8A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322" w:type="dxa"/>
            <w:gridSpan w:val="4"/>
            <w:vAlign w:val="center"/>
          </w:tcPr>
          <w:p w14:paraId="7EA23B01">
            <w:pPr>
              <w:jc w:val="left"/>
              <w:rPr>
                <w:rFonts w:hint="eastAsia" w:ascii="宋体" w:hAnsi="宋体"/>
                <w:color w:val="000000" w:themeColor="text1"/>
                <w:sz w:val="30"/>
                <w:szCs w:val="30"/>
                <w:highlight w:val="none"/>
                <w14:textFill>
                  <w14:solidFill>
                    <w14:schemeClr w14:val="tx1"/>
                  </w14:solidFill>
                </w14:textFill>
              </w:rPr>
            </w:pPr>
          </w:p>
        </w:tc>
      </w:tr>
    </w:tbl>
    <w:p w14:paraId="18D060C5">
      <w:pPr>
        <w:pStyle w:val="37"/>
        <w:ind w:firstLine="560"/>
        <w:rPr>
          <w:color w:val="000000" w:themeColor="text1"/>
          <w:highlight w:val="none"/>
          <w14:textFill>
            <w14:solidFill>
              <w14:schemeClr w14:val="tx1"/>
            </w14:solidFill>
          </w14:textFill>
        </w:rPr>
      </w:pPr>
    </w:p>
    <w:sectPr>
      <w:pgSz w:w="11905"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94863">
    <w:pPr>
      <w:pStyle w:val="2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4A5EE7">
                          <w:pPr>
                            <w:pStyle w:val="26"/>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D4A5EE7">
                    <w:pPr>
                      <w:pStyle w:val="2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A7D54">
    <w:pPr>
      <w:pStyle w:val="26"/>
      <w:ind w:firstLine="360"/>
      <w:rPr>
        <w:rStyle w:val="41"/>
      </w:rPr>
    </w:pPr>
    <w:r>
      <w:fldChar w:fldCharType="begin"/>
    </w:r>
    <w:r>
      <w:rPr>
        <w:rStyle w:val="41"/>
      </w:rPr>
      <w:instrText xml:space="preserve">PAGE  </w:instrText>
    </w:r>
    <w:r>
      <w:fldChar w:fldCharType="separate"/>
    </w:r>
    <w:r>
      <w:fldChar w:fldCharType="end"/>
    </w:r>
  </w:p>
  <w:p w14:paraId="4646DC0D">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1790">
    <w:pPr>
      <w:pStyle w:val="26"/>
      <w:ind w:firstLine="360"/>
      <w:rPr>
        <w:rStyle w:val="41"/>
      </w:rPr>
    </w:pPr>
  </w:p>
  <w:p w14:paraId="37CDD225">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604677"/>
    </w:sdtPr>
    <w:sdtContent>
      <w:p w14:paraId="1C03EA61">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3</w:t>
        </w:r>
        <w:r>
          <w:rPr>
            <w:rFonts w:ascii="宋体" w:hAnsi="宋体"/>
          </w:rPr>
          <w:fldChar w:fldCharType="end"/>
        </w:r>
      </w:p>
    </w:sdtContent>
  </w:sdt>
  <w:p w14:paraId="5D4339C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4753080"/>
    </w:sdtPr>
    <w:sdtContent>
      <w:p w14:paraId="244F98C7">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2456190"/>
    </w:sdtPr>
    <w:sdtContent>
      <w:p w14:paraId="77617C9D">
        <w:pPr>
          <w:pStyle w:val="26"/>
          <w:jc w:val="center"/>
        </w:pPr>
        <w:r>
          <w:fldChar w:fldCharType="begin"/>
        </w:r>
        <w:r>
          <w:instrText xml:space="preserve">PAGE   \* MERGEFORMAT</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A8E47"/>
  <w:p w14:paraId="6501071E">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CFC24">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DA846">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151E9"/>
    <w:multiLevelType w:val="multilevel"/>
    <w:tmpl w:val="013151E9"/>
    <w:lvl w:ilvl="0" w:tentative="0">
      <w:start w:val="1"/>
      <w:numFmt w:val="decimal"/>
      <w:lvlText w:val="%1."/>
      <w:lvlJc w:val="left"/>
      <w:pPr>
        <w:ind w:left="425" w:hanging="425"/>
      </w:pPr>
      <w:rPr>
        <w:rFonts w:hint="eastAsia"/>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5CC020D"/>
    <w:multiLevelType w:val="multilevel"/>
    <w:tmpl w:val="05CC020D"/>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54A6C66"/>
    <w:multiLevelType w:val="multilevel"/>
    <w:tmpl w:val="154A6C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FC2164"/>
    <w:multiLevelType w:val="singleLevel"/>
    <w:tmpl w:val="17FC2164"/>
    <w:lvl w:ilvl="0" w:tentative="0">
      <w:start w:val="4"/>
      <w:numFmt w:val="chineseCounting"/>
      <w:suff w:val="space"/>
      <w:lvlText w:val="第%1章"/>
      <w:lvlJc w:val="left"/>
      <w:rPr>
        <w:rFonts w:hint="eastAsia"/>
      </w:rPr>
    </w:lvl>
  </w:abstractNum>
  <w:abstractNum w:abstractNumId="5">
    <w:nsid w:val="1C7E3CFE"/>
    <w:multiLevelType w:val="multilevel"/>
    <w:tmpl w:val="1C7E3CFE"/>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
    <w:nsid w:val="267D30CE"/>
    <w:multiLevelType w:val="multilevel"/>
    <w:tmpl w:val="267D30C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Theme="minorEastAsia" w:hAnsiTheme="minorEastAsia" w:eastAsiaTheme="minorEastAsia"/>
      </w:rPr>
    </w:lvl>
    <w:lvl w:ilvl="2" w:tentative="0">
      <w:start w:val="1"/>
      <w:numFmt w:val="decimal"/>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36342E8D"/>
    <w:multiLevelType w:val="multilevel"/>
    <w:tmpl w:val="36342E8D"/>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370213AF"/>
    <w:multiLevelType w:val="multilevel"/>
    <w:tmpl w:val="370213AF"/>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44D26482"/>
    <w:multiLevelType w:val="multilevel"/>
    <w:tmpl w:val="44D26482"/>
    <w:lvl w:ilvl="0" w:tentative="0">
      <w:start w:val="1"/>
      <w:numFmt w:val="decimal"/>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4AC775F4"/>
    <w:multiLevelType w:val="multilevel"/>
    <w:tmpl w:val="4AC775F4"/>
    <w:lvl w:ilvl="0" w:tentative="0">
      <w:start w:val="1"/>
      <w:numFmt w:val="decimal"/>
      <w:lvlText w:val="%1."/>
      <w:lvlJc w:val="left"/>
      <w:pPr>
        <w:ind w:left="425" w:hanging="425"/>
      </w:pPr>
      <w:rPr>
        <w:rFonts w:hint="eastAsia" w:ascii="宋体" w:hAnsi="宋体" w:eastAsia="宋体"/>
        <w:b/>
        <w:sz w:val="28"/>
      </w:rPr>
    </w:lvl>
    <w:lvl w:ilvl="1" w:tentative="0">
      <w:start w:val="1"/>
      <w:numFmt w:val="decimal"/>
      <w:lvlText w:val="%1.%2"/>
      <w:lvlJc w:val="left"/>
      <w:pPr>
        <w:ind w:left="850" w:hanging="425"/>
      </w:pPr>
      <w:rPr>
        <w:rFonts w:hint="eastAsia" w:eastAsia="宋体"/>
        <w:b/>
        <w:i w:val="0"/>
        <w:sz w:val="24"/>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2">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
    <w:nsid w:val="5E4833FD"/>
    <w:multiLevelType w:val="multilevel"/>
    <w:tmpl w:val="5E4833FD"/>
    <w:lvl w:ilvl="0" w:tentative="0">
      <w:start w:val="1"/>
      <w:numFmt w:val="decimal"/>
      <w:lvlText w:val="（%1）"/>
      <w:lvlJc w:val="left"/>
      <w:pPr>
        <w:tabs>
          <w:tab w:val="left" w:pos="1142"/>
        </w:tabs>
        <w:ind w:left="1142" w:hanging="720"/>
      </w:pPr>
      <w:rPr>
        <w:rFonts w:hint="default"/>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3DE7ADE"/>
    <w:multiLevelType w:val="multilevel"/>
    <w:tmpl w:val="63DE7AD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4FB4BFD"/>
    <w:multiLevelType w:val="multilevel"/>
    <w:tmpl w:val="64FB4B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7FA36634"/>
    <w:multiLevelType w:val="multilevel"/>
    <w:tmpl w:val="7FA3663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2"/>
  </w:num>
  <w:num w:numId="2">
    <w:abstractNumId w:val="7"/>
  </w:num>
  <w:num w:numId="3">
    <w:abstractNumId w:val="11"/>
  </w:num>
  <w:num w:numId="4">
    <w:abstractNumId w:val="3"/>
  </w:num>
  <w:num w:numId="5">
    <w:abstractNumId w:val="10"/>
  </w:num>
  <w:num w:numId="6">
    <w:abstractNumId w:val="15"/>
  </w:num>
  <w:num w:numId="7">
    <w:abstractNumId w:val="9"/>
  </w:num>
  <w:num w:numId="8">
    <w:abstractNumId w:val="8"/>
  </w:num>
  <w:num w:numId="9">
    <w:abstractNumId w:val="5"/>
  </w:num>
  <w:num w:numId="10">
    <w:abstractNumId w:val="1"/>
  </w:num>
  <w:num w:numId="11">
    <w:abstractNumId w:val="13"/>
  </w:num>
  <w:num w:numId="12">
    <w:abstractNumId w:val="17"/>
  </w:num>
  <w:num w:numId="13">
    <w:abstractNumId w:val="4"/>
  </w:num>
  <w:num w:numId="14">
    <w:abstractNumId w:val="0"/>
  </w:num>
  <w:num w:numId="15">
    <w:abstractNumId w:val="14"/>
  </w:num>
  <w:num w:numId="16">
    <w:abstractNumId w:val="16"/>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removePersonalInformation/>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24"/>
    <w:rsid w:val="00000231"/>
    <w:rsid w:val="00000A3E"/>
    <w:rsid w:val="00001213"/>
    <w:rsid w:val="00001D14"/>
    <w:rsid w:val="000024E5"/>
    <w:rsid w:val="00004907"/>
    <w:rsid w:val="00005869"/>
    <w:rsid w:val="0000597B"/>
    <w:rsid w:val="00006092"/>
    <w:rsid w:val="0000640F"/>
    <w:rsid w:val="00010968"/>
    <w:rsid w:val="000113D9"/>
    <w:rsid w:val="000129AA"/>
    <w:rsid w:val="00016CB3"/>
    <w:rsid w:val="00016EC0"/>
    <w:rsid w:val="00020D9C"/>
    <w:rsid w:val="0002129D"/>
    <w:rsid w:val="00021A11"/>
    <w:rsid w:val="0002398D"/>
    <w:rsid w:val="0002468F"/>
    <w:rsid w:val="00027253"/>
    <w:rsid w:val="00027794"/>
    <w:rsid w:val="000300EC"/>
    <w:rsid w:val="00033614"/>
    <w:rsid w:val="00033ED9"/>
    <w:rsid w:val="00035B2C"/>
    <w:rsid w:val="00035C70"/>
    <w:rsid w:val="0003775A"/>
    <w:rsid w:val="000416B7"/>
    <w:rsid w:val="0004206C"/>
    <w:rsid w:val="0004238F"/>
    <w:rsid w:val="0004255D"/>
    <w:rsid w:val="000445C6"/>
    <w:rsid w:val="00047CB9"/>
    <w:rsid w:val="00047E9C"/>
    <w:rsid w:val="000507FE"/>
    <w:rsid w:val="00051CBD"/>
    <w:rsid w:val="0005200D"/>
    <w:rsid w:val="000538AD"/>
    <w:rsid w:val="000560BC"/>
    <w:rsid w:val="00056799"/>
    <w:rsid w:val="00056E17"/>
    <w:rsid w:val="000575D6"/>
    <w:rsid w:val="0006029F"/>
    <w:rsid w:val="00060D77"/>
    <w:rsid w:val="00061B23"/>
    <w:rsid w:val="00062473"/>
    <w:rsid w:val="00062A74"/>
    <w:rsid w:val="00063079"/>
    <w:rsid w:val="00064809"/>
    <w:rsid w:val="00065A68"/>
    <w:rsid w:val="000667E2"/>
    <w:rsid w:val="00066C5F"/>
    <w:rsid w:val="00067071"/>
    <w:rsid w:val="00067F5A"/>
    <w:rsid w:val="00070EE8"/>
    <w:rsid w:val="00073E0B"/>
    <w:rsid w:val="0007760E"/>
    <w:rsid w:val="00081C20"/>
    <w:rsid w:val="0008220C"/>
    <w:rsid w:val="000829AC"/>
    <w:rsid w:val="0008322D"/>
    <w:rsid w:val="000901AA"/>
    <w:rsid w:val="0009041E"/>
    <w:rsid w:val="000915A4"/>
    <w:rsid w:val="00091A8A"/>
    <w:rsid w:val="00092670"/>
    <w:rsid w:val="0009318B"/>
    <w:rsid w:val="00094678"/>
    <w:rsid w:val="00094E95"/>
    <w:rsid w:val="00096BF6"/>
    <w:rsid w:val="000975BF"/>
    <w:rsid w:val="00097886"/>
    <w:rsid w:val="000A01C3"/>
    <w:rsid w:val="000A0CB8"/>
    <w:rsid w:val="000A0EF5"/>
    <w:rsid w:val="000A1448"/>
    <w:rsid w:val="000A186C"/>
    <w:rsid w:val="000A1BBF"/>
    <w:rsid w:val="000A2258"/>
    <w:rsid w:val="000A2963"/>
    <w:rsid w:val="000A37BB"/>
    <w:rsid w:val="000A40C4"/>
    <w:rsid w:val="000A52FC"/>
    <w:rsid w:val="000A6869"/>
    <w:rsid w:val="000A71E6"/>
    <w:rsid w:val="000B256E"/>
    <w:rsid w:val="000B4CE9"/>
    <w:rsid w:val="000B50F9"/>
    <w:rsid w:val="000B55EC"/>
    <w:rsid w:val="000B6EB8"/>
    <w:rsid w:val="000B71E5"/>
    <w:rsid w:val="000B731B"/>
    <w:rsid w:val="000C09BF"/>
    <w:rsid w:val="000C17F7"/>
    <w:rsid w:val="000C1E9B"/>
    <w:rsid w:val="000C3007"/>
    <w:rsid w:val="000C37EF"/>
    <w:rsid w:val="000C4D25"/>
    <w:rsid w:val="000C5093"/>
    <w:rsid w:val="000D090B"/>
    <w:rsid w:val="000D2C2A"/>
    <w:rsid w:val="000D43D9"/>
    <w:rsid w:val="000D5B17"/>
    <w:rsid w:val="000E045B"/>
    <w:rsid w:val="000E16B1"/>
    <w:rsid w:val="000E185A"/>
    <w:rsid w:val="000E1C06"/>
    <w:rsid w:val="000E28EF"/>
    <w:rsid w:val="000E2DD2"/>
    <w:rsid w:val="000E4B58"/>
    <w:rsid w:val="000E5F8C"/>
    <w:rsid w:val="000E65C0"/>
    <w:rsid w:val="000E68A1"/>
    <w:rsid w:val="000E7CC4"/>
    <w:rsid w:val="000F0928"/>
    <w:rsid w:val="000F115E"/>
    <w:rsid w:val="000F4990"/>
    <w:rsid w:val="000F5B58"/>
    <w:rsid w:val="000F6AD7"/>
    <w:rsid w:val="000F6C5A"/>
    <w:rsid w:val="00102BE9"/>
    <w:rsid w:val="001034AB"/>
    <w:rsid w:val="00104246"/>
    <w:rsid w:val="001051DB"/>
    <w:rsid w:val="00105889"/>
    <w:rsid w:val="00105A7C"/>
    <w:rsid w:val="00107748"/>
    <w:rsid w:val="00107807"/>
    <w:rsid w:val="00107E05"/>
    <w:rsid w:val="00110A63"/>
    <w:rsid w:val="00110CBA"/>
    <w:rsid w:val="001112C1"/>
    <w:rsid w:val="0011576D"/>
    <w:rsid w:val="001162FF"/>
    <w:rsid w:val="00116999"/>
    <w:rsid w:val="00116D90"/>
    <w:rsid w:val="00120CA5"/>
    <w:rsid w:val="001218D1"/>
    <w:rsid w:val="00124787"/>
    <w:rsid w:val="00125F16"/>
    <w:rsid w:val="001306E5"/>
    <w:rsid w:val="00131090"/>
    <w:rsid w:val="0013400C"/>
    <w:rsid w:val="00135597"/>
    <w:rsid w:val="00135815"/>
    <w:rsid w:val="0013604E"/>
    <w:rsid w:val="00136343"/>
    <w:rsid w:val="00137E83"/>
    <w:rsid w:val="00141291"/>
    <w:rsid w:val="001413DE"/>
    <w:rsid w:val="00142206"/>
    <w:rsid w:val="00143E36"/>
    <w:rsid w:val="00144D7F"/>
    <w:rsid w:val="001464EC"/>
    <w:rsid w:val="001476AF"/>
    <w:rsid w:val="001521DF"/>
    <w:rsid w:val="001544A6"/>
    <w:rsid w:val="001558A9"/>
    <w:rsid w:val="001558E8"/>
    <w:rsid w:val="001559C5"/>
    <w:rsid w:val="00155F10"/>
    <w:rsid w:val="00156AD9"/>
    <w:rsid w:val="001571D8"/>
    <w:rsid w:val="00157A78"/>
    <w:rsid w:val="0016072A"/>
    <w:rsid w:val="001617BD"/>
    <w:rsid w:val="001652AE"/>
    <w:rsid w:val="0016532B"/>
    <w:rsid w:val="00165BFC"/>
    <w:rsid w:val="00166528"/>
    <w:rsid w:val="00166895"/>
    <w:rsid w:val="001712B8"/>
    <w:rsid w:val="00171786"/>
    <w:rsid w:val="00173C41"/>
    <w:rsid w:val="00174F8F"/>
    <w:rsid w:val="00176386"/>
    <w:rsid w:val="00176A76"/>
    <w:rsid w:val="0017712B"/>
    <w:rsid w:val="001778DB"/>
    <w:rsid w:val="00180FCE"/>
    <w:rsid w:val="00182766"/>
    <w:rsid w:val="001830EA"/>
    <w:rsid w:val="001845D4"/>
    <w:rsid w:val="001848F1"/>
    <w:rsid w:val="00184F2C"/>
    <w:rsid w:val="001851E3"/>
    <w:rsid w:val="00185609"/>
    <w:rsid w:val="00186411"/>
    <w:rsid w:val="00186424"/>
    <w:rsid w:val="0018646D"/>
    <w:rsid w:val="00187B2F"/>
    <w:rsid w:val="001903D5"/>
    <w:rsid w:val="00192F2A"/>
    <w:rsid w:val="00193C2A"/>
    <w:rsid w:val="00195240"/>
    <w:rsid w:val="00196397"/>
    <w:rsid w:val="001A0481"/>
    <w:rsid w:val="001A2C6E"/>
    <w:rsid w:val="001A2F27"/>
    <w:rsid w:val="001A3450"/>
    <w:rsid w:val="001A7370"/>
    <w:rsid w:val="001A7B9F"/>
    <w:rsid w:val="001A7C37"/>
    <w:rsid w:val="001B0424"/>
    <w:rsid w:val="001B1279"/>
    <w:rsid w:val="001B1E47"/>
    <w:rsid w:val="001B2099"/>
    <w:rsid w:val="001B2883"/>
    <w:rsid w:val="001B2FB8"/>
    <w:rsid w:val="001B3B9B"/>
    <w:rsid w:val="001B3F0F"/>
    <w:rsid w:val="001B72E6"/>
    <w:rsid w:val="001B79BF"/>
    <w:rsid w:val="001C162C"/>
    <w:rsid w:val="001C1E3D"/>
    <w:rsid w:val="001C2649"/>
    <w:rsid w:val="001C2B03"/>
    <w:rsid w:val="001C39BA"/>
    <w:rsid w:val="001C3F5C"/>
    <w:rsid w:val="001C4167"/>
    <w:rsid w:val="001C4A6F"/>
    <w:rsid w:val="001C5464"/>
    <w:rsid w:val="001C560E"/>
    <w:rsid w:val="001C59FC"/>
    <w:rsid w:val="001C5D49"/>
    <w:rsid w:val="001C70F8"/>
    <w:rsid w:val="001C715D"/>
    <w:rsid w:val="001C769C"/>
    <w:rsid w:val="001C7F00"/>
    <w:rsid w:val="001D0210"/>
    <w:rsid w:val="001D0DDC"/>
    <w:rsid w:val="001D0FCD"/>
    <w:rsid w:val="001D1275"/>
    <w:rsid w:val="001D201F"/>
    <w:rsid w:val="001D3393"/>
    <w:rsid w:val="001D3DF1"/>
    <w:rsid w:val="001D433D"/>
    <w:rsid w:val="001D4DB5"/>
    <w:rsid w:val="001D5BE8"/>
    <w:rsid w:val="001D618A"/>
    <w:rsid w:val="001D6D30"/>
    <w:rsid w:val="001E0048"/>
    <w:rsid w:val="001E06A7"/>
    <w:rsid w:val="001E15DC"/>
    <w:rsid w:val="001E259D"/>
    <w:rsid w:val="001E2A0A"/>
    <w:rsid w:val="001E39E7"/>
    <w:rsid w:val="001E4F99"/>
    <w:rsid w:val="001E55ED"/>
    <w:rsid w:val="001E7788"/>
    <w:rsid w:val="001F2CEC"/>
    <w:rsid w:val="001F2F59"/>
    <w:rsid w:val="001F4B5E"/>
    <w:rsid w:val="001F4E5D"/>
    <w:rsid w:val="001F5418"/>
    <w:rsid w:val="001F546C"/>
    <w:rsid w:val="001F6C59"/>
    <w:rsid w:val="001F74E8"/>
    <w:rsid w:val="002010F2"/>
    <w:rsid w:val="002017B3"/>
    <w:rsid w:val="00201BAC"/>
    <w:rsid w:val="0020216F"/>
    <w:rsid w:val="00202CFD"/>
    <w:rsid w:val="00204457"/>
    <w:rsid w:val="00205154"/>
    <w:rsid w:val="00205C2E"/>
    <w:rsid w:val="00206365"/>
    <w:rsid w:val="00210392"/>
    <w:rsid w:val="002108E0"/>
    <w:rsid w:val="002109CC"/>
    <w:rsid w:val="00210DD7"/>
    <w:rsid w:val="00211291"/>
    <w:rsid w:val="00213454"/>
    <w:rsid w:val="0021361D"/>
    <w:rsid w:val="002140A1"/>
    <w:rsid w:val="00215D78"/>
    <w:rsid w:val="00217911"/>
    <w:rsid w:val="0022246C"/>
    <w:rsid w:val="00222817"/>
    <w:rsid w:val="002244C5"/>
    <w:rsid w:val="00224CC7"/>
    <w:rsid w:val="002255BE"/>
    <w:rsid w:val="00227F7C"/>
    <w:rsid w:val="0023009A"/>
    <w:rsid w:val="002305D6"/>
    <w:rsid w:val="002315C9"/>
    <w:rsid w:val="0023265B"/>
    <w:rsid w:val="0023269E"/>
    <w:rsid w:val="00232E61"/>
    <w:rsid w:val="00234024"/>
    <w:rsid w:val="0023410F"/>
    <w:rsid w:val="00234EA4"/>
    <w:rsid w:val="0023604B"/>
    <w:rsid w:val="00237CA4"/>
    <w:rsid w:val="002428C1"/>
    <w:rsid w:val="0024329B"/>
    <w:rsid w:val="002434D9"/>
    <w:rsid w:val="002462EE"/>
    <w:rsid w:val="00246597"/>
    <w:rsid w:val="002477FC"/>
    <w:rsid w:val="00250163"/>
    <w:rsid w:val="00254C4F"/>
    <w:rsid w:val="00254DD5"/>
    <w:rsid w:val="00257772"/>
    <w:rsid w:val="00260CC4"/>
    <w:rsid w:val="00261B16"/>
    <w:rsid w:val="00261D39"/>
    <w:rsid w:val="002625E8"/>
    <w:rsid w:val="00263504"/>
    <w:rsid w:val="00263D8B"/>
    <w:rsid w:val="00263E83"/>
    <w:rsid w:val="00264F8F"/>
    <w:rsid w:val="002652EF"/>
    <w:rsid w:val="0026596A"/>
    <w:rsid w:val="00265D3C"/>
    <w:rsid w:val="00265F29"/>
    <w:rsid w:val="0026631A"/>
    <w:rsid w:val="00266376"/>
    <w:rsid w:val="0026656B"/>
    <w:rsid w:val="00266F33"/>
    <w:rsid w:val="0027044A"/>
    <w:rsid w:val="0027063D"/>
    <w:rsid w:val="002707A3"/>
    <w:rsid w:val="00272C88"/>
    <w:rsid w:val="00273D01"/>
    <w:rsid w:val="00276C1D"/>
    <w:rsid w:val="00277C54"/>
    <w:rsid w:val="00280A92"/>
    <w:rsid w:val="00280E8F"/>
    <w:rsid w:val="00281520"/>
    <w:rsid w:val="0028282F"/>
    <w:rsid w:val="00285039"/>
    <w:rsid w:val="002864CD"/>
    <w:rsid w:val="00287A8C"/>
    <w:rsid w:val="002900CC"/>
    <w:rsid w:val="00291EFA"/>
    <w:rsid w:val="00292AE1"/>
    <w:rsid w:val="00293222"/>
    <w:rsid w:val="00293474"/>
    <w:rsid w:val="00293B35"/>
    <w:rsid w:val="00294153"/>
    <w:rsid w:val="00294F89"/>
    <w:rsid w:val="002953BE"/>
    <w:rsid w:val="00295D81"/>
    <w:rsid w:val="00296112"/>
    <w:rsid w:val="00297CB8"/>
    <w:rsid w:val="002A06A4"/>
    <w:rsid w:val="002A1253"/>
    <w:rsid w:val="002A273D"/>
    <w:rsid w:val="002A2AEA"/>
    <w:rsid w:val="002A310C"/>
    <w:rsid w:val="002A411E"/>
    <w:rsid w:val="002A479B"/>
    <w:rsid w:val="002A5F03"/>
    <w:rsid w:val="002A62F3"/>
    <w:rsid w:val="002A6E2F"/>
    <w:rsid w:val="002B06D1"/>
    <w:rsid w:val="002B1672"/>
    <w:rsid w:val="002B1AB4"/>
    <w:rsid w:val="002B1E19"/>
    <w:rsid w:val="002B3064"/>
    <w:rsid w:val="002B4238"/>
    <w:rsid w:val="002B50C6"/>
    <w:rsid w:val="002C01C6"/>
    <w:rsid w:val="002C034E"/>
    <w:rsid w:val="002C17E2"/>
    <w:rsid w:val="002C2734"/>
    <w:rsid w:val="002C3215"/>
    <w:rsid w:val="002C364D"/>
    <w:rsid w:val="002C3771"/>
    <w:rsid w:val="002C6C4D"/>
    <w:rsid w:val="002D557F"/>
    <w:rsid w:val="002D5862"/>
    <w:rsid w:val="002D74A6"/>
    <w:rsid w:val="002D7600"/>
    <w:rsid w:val="002D794D"/>
    <w:rsid w:val="002E2A86"/>
    <w:rsid w:val="002E31E7"/>
    <w:rsid w:val="002E32AA"/>
    <w:rsid w:val="002E4B37"/>
    <w:rsid w:val="002E6A25"/>
    <w:rsid w:val="002E6B3F"/>
    <w:rsid w:val="002E71A2"/>
    <w:rsid w:val="002F037F"/>
    <w:rsid w:val="002F0F26"/>
    <w:rsid w:val="002F2670"/>
    <w:rsid w:val="002F2DE6"/>
    <w:rsid w:val="002F3D9A"/>
    <w:rsid w:val="002F4305"/>
    <w:rsid w:val="002F67EF"/>
    <w:rsid w:val="00300CCB"/>
    <w:rsid w:val="003037D1"/>
    <w:rsid w:val="003054A6"/>
    <w:rsid w:val="0030640D"/>
    <w:rsid w:val="00306EB1"/>
    <w:rsid w:val="00310C54"/>
    <w:rsid w:val="003116CF"/>
    <w:rsid w:val="0031296E"/>
    <w:rsid w:val="00313C13"/>
    <w:rsid w:val="00314673"/>
    <w:rsid w:val="00314BA8"/>
    <w:rsid w:val="003160CF"/>
    <w:rsid w:val="00316621"/>
    <w:rsid w:val="0031678D"/>
    <w:rsid w:val="0031734A"/>
    <w:rsid w:val="00317947"/>
    <w:rsid w:val="00317B40"/>
    <w:rsid w:val="00317E89"/>
    <w:rsid w:val="00320956"/>
    <w:rsid w:val="00321F78"/>
    <w:rsid w:val="00322D96"/>
    <w:rsid w:val="00324A8F"/>
    <w:rsid w:val="00324FEF"/>
    <w:rsid w:val="00325834"/>
    <w:rsid w:val="0032617A"/>
    <w:rsid w:val="0032711A"/>
    <w:rsid w:val="00327174"/>
    <w:rsid w:val="00330F44"/>
    <w:rsid w:val="00330FC8"/>
    <w:rsid w:val="00331E14"/>
    <w:rsid w:val="00332C34"/>
    <w:rsid w:val="003330C2"/>
    <w:rsid w:val="00333430"/>
    <w:rsid w:val="0033424F"/>
    <w:rsid w:val="0033543C"/>
    <w:rsid w:val="00336072"/>
    <w:rsid w:val="0033630F"/>
    <w:rsid w:val="00337135"/>
    <w:rsid w:val="00337DB5"/>
    <w:rsid w:val="00337F63"/>
    <w:rsid w:val="003405AC"/>
    <w:rsid w:val="003426B3"/>
    <w:rsid w:val="00342C93"/>
    <w:rsid w:val="003439F6"/>
    <w:rsid w:val="00344797"/>
    <w:rsid w:val="00346845"/>
    <w:rsid w:val="00347031"/>
    <w:rsid w:val="0035058F"/>
    <w:rsid w:val="00350628"/>
    <w:rsid w:val="00352D7A"/>
    <w:rsid w:val="00354821"/>
    <w:rsid w:val="0035493E"/>
    <w:rsid w:val="00354E6B"/>
    <w:rsid w:val="00354FC4"/>
    <w:rsid w:val="00355398"/>
    <w:rsid w:val="00356B01"/>
    <w:rsid w:val="0036088C"/>
    <w:rsid w:val="00361D39"/>
    <w:rsid w:val="003620DF"/>
    <w:rsid w:val="003624FE"/>
    <w:rsid w:val="00362DB4"/>
    <w:rsid w:val="0036458A"/>
    <w:rsid w:val="00365EB6"/>
    <w:rsid w:val="00367944"/>
    <w:rsid w:val="00372139"/>
    <w:rsid w:val="00372D5B"/>
    <w:rsid w:val="00373F68"/>
    <w:rsid w:val="0037478D"/>
    <w:rsid w:val="00375A09"/>
    <w:rsid w:val="00375E24"/>
    <w:rsid w:val="0037674B"/>
    <w:rsid w:val="00381A65"/>
    <w:rsid w:val="00381BC0"/>
    <w:rsid w:val="00381E5E"/>
    <w:rsid w:val="00381F10"/>
    <w:rsid w:val="0038258A"/>
    <w:rsid w:val="00385140"/>
    <w:rsid w:val="0038570E"/>
    <w:rsid w:val="00386842"/>
    <w:rsid w:val="003869B6"/>
    <w:rsid w:val="003870B8"/>
    <w:rsid w:val="003875AC"/>
    <w:rsid w:val="00387E70"/>
    <w:rsid w:val="0039040B"/>
    <w:rsid w:val="00390D38"/>
    <w:rsid w:val="00391035"/>
    <w:rsid w:val="0039258F"/>
    <w:rsid w:val="00393C71"/>
    <w:rsid w:val="00394259"/>
    <w:rsid w:val="00394D5E"/>
    <w:rsid w:val="00394DFC"/>
    <w:rsid w:val="003964EB"/>
    <w:rsid w:val="00397BE2"/>
    <w:rsid w:val="003A12E8"/>
    <w:rsid w:val="003A2140"/>
    <w:rsid w:val="003A281E"/>
    <w:rsid w:val="003A2C0F"/>
    <w:rsid w:val="003A500C"/>
    <w:rsid w:val="003A6589"/>
    <w:rsid w:val="003A6D6C"/>
    <w:rsid w:val="003A7DE7"/>
    <w:rsid w:val="003B09CC"/>
    <w:rsid w:val="003B1031"/>
    <w:rsid w:val="003B12F5"/>
    <w:rsid w:val="003B1BFF"/>
    <w:rsid w:val="003B34FF"/>
    <w:rsid w:val="003B3C91"/>
    <w:rsid w:val="003B3CC3"/>
    <w:rsid w:val="003B45C9"/>
    <w:rsid w:val="003B6288"/>
    <w:rsid w:val="003B654E"/>
    <w:rsid w:val="003C04B6"/>
    <w:rsid w:val="003C0EF7"/>
    <w:rsid w:val="003C2639"/>
    <w:rsid w:val="003C3666"/>
    <w:rsid w:val="003C3983"/>
    <w:rsid w:val="003C7221"/>
    <w:rsid w:val="003D0794"/>
    <w:rsid w:val="003D1F3E"/>
    <w:rsid w:val="003D2B4E"/>
    <w:rsid w:val="003D2E0D"/>
    <w:rsid w:val="003D2EE1"/>
    <w:rsid w:val="003D32BC"/>
    <w:rsid w:val="003E0AEA"/>
    <w:rsid w:val="003E0B90"/>
    <w:rsid w:val="003E2F1D"/>
    <w:rsid w:val="003E4474"/>
    <w:rsid w:val="003E5604"/>
    <w:rsid w:val="003E6406"/>
    <w:rsid w:val="003E717C"/>
    <w:rsid w:val="003F0AA3"/>
    <w:rsid w:val="003F0C44"/>
    <w:rsid w:val="003F0D12"/>
    <w:rsid w:val="003F1364"/>
    <w:rsid w:val="003F16B4"/>
    <w:rsid w:val="003F16B7"/>
    <w:rsid w:val="003F3580"/>
    <w:rsid w:val="003F360D"/>
    <w:rsid w:val="003F3841"/>
    <w:rsid w:val="003F5459"/>
    <w:rsid w:val="003F6DE6"/>
    <w:rsid w:val="003F6F4B"/>
    <w:rsid w:val="003F7856"/>
    <w:rsid w:val="003F7AC9"/>
    <w:rsid w:val="00400B3E"/>
    <w:rsid w:val="0040109A"/>
    <w:rsid w:val="00401A3C"/>
    <w:rsid w:val="00403219"/>
    <w:rsid w:val="004040A6"/>
    <w:rsid w:val="00404931"/>
    <w:rsid w:val="00405FB9"/>
    <w:rsid w:val="004062F0"/>
    <w:rsid w:val="004062F8"/>
    <w:rsid w:val="00407F26"/>
    <w:rsid w:val="00412879"/>
    <w:rsid w:val="004159C7"/>
    <w:rsid w:val="00416ACE"/>
    <w:rsid w:val="00416AF9"/>
    <w:rsid w:val="0042002E"/>
    <w:rsid w:val="004200C7"/>
    <w:rsid w:val="00421F7E"/>
    <w:rsid w:val="004228CA"/>
    <w:rsid w:val="00422D64"/>
    <w:rsid w:val="0042399A"/>
    <w:rsid w:val="00425096"/>
    <w:rsid w:val="00425128"/>
    <w:rsid w:val="00426094"/>
    <w:rsid w:val="00426B48"/>
    <w:rsid w:val="00426B94"/>
    <w:rsid w:val="00431EED"/>
    <w:rsid w:val="00432010"/>
    <w:rsid w:val="00434715"/>
    <w:rsid w:val="00435ACD"/>
    <w:rsid w:val="00436072"/>
    <w:rsid w:val="004362FE"/>
    <w:rsid w:val="00436FEA"/>
    <w:rsid w:val="00441FA6"/>
    <w:rsid w:val="004466DF"/>
    <w:rsid w:val="00446BE4"/>
    <w:rsid w:val="00450223"/>
    <w:rsid w:val="004505C7"/>
    <w:rsid w:val="00451A61"/>
    <w:rsid w:val="00453112"/>
    <w:rsid w:val="00454D2C"/>
    <w:rsid w:val="0045530D"/>
    <w:rsid w:val="00455CF2"/>
    <w:rsid w:val="00456760"/>
    <w:rsid w:val="00456901"/>
    <w:rsid w:val="00456C5A"/>
    <w:rsid w:val="00456CE8"/>
    <w:rsid w:val="0045728D"/>
    <w:rsid w:val="004613BF"/>
    <w:rsid w:val="00461762"/>
    <w:rsid w:val="00462997"/>
    <w:rsid w:val="00463CF7"/>
    <w:rsid w:val="0046422B"/>
    <w:rsid w:val="00464D17"/>
    <w:rsid w:val="0046568F"/>
    <w:rsid w:val="00466225"/>
    <w:rsid w:val="0046735C"/>
    <w:rsid w:val="004706A5"/>
    <w:rsid w:val="00470BBF"/>
    <w:rsid w:val="00474A74"/>
    <w:rsid w:val="00474BD3"/>
    <w:rsid w:val="00483139"/>
    <w:rsid w:val="00483E01"/>
    <w:rsid w:val="004840A9"/>
    <w:rsid w:val="00484D35"/>
    <w:rsid w:val="00485FDC"/>
    <w:rsid w:val="00486C53"/>
    <w:rsid w:val="0048715D"/>
    <w:rsid w:val="004876D5"/>
    <w:rsid w:val="00487EAC"/>
    <w:rsid w:val="0049067E"/>
    <w:rsid w:val="004906BD"/>
    <w:rsid w:val="004908F9"/>
    <w:rsid w:val="004915A1"/>
    <w:rsid w:val="00492A59"/>
    <w:rsid w:val="00492A9C"/>
    <w:rsid w:val="00493539"/>
    <w:rsid w:val="00494DEE"/>
    <w:rsid w:val="004951C8"/>
    <w:rsid w:val="0049604F"/>
    <w:rsid w:val="004969D6"/>
    <w:rsid w:val="004A0973"/>
    <w:rsid w:val="004A09A6"/>
    <w:rsid w:val="004A0F11"/>
    <w:rsid w:val="004A194C"/>
    <w:rsid w:val="004A23A1"/>
    <w:rsid w:val="004A33BF"/>
    <w:rsid w:val="004A36BE"/>
    <w:rsid w:val="004A5604"/>
    <w:rsid w:val="004A596D"/>
    <w:rsid w:val="004A5C83"/>
    <w:rsid w:val="004A7D86"/>
    <w:rsid w:val="004B0624"/>
    <w:rsid w:val="004B0CAD"/>
    <w:rsid w:val="004B4F9D"/>
    <w:rsid w:val="004B5064"/>
    <w:rsid w:val="004C0425"/>
    <w:rsid w:val="004C05CF"/>
    <w:rsid w:val="004C153C"/>
    <w:rsid w:val="004C1789"/>
    <w:rsid w:val="004C1A32"/>
    <w:rsid w:val="004C1CF8"/>
    <w:rsid w:val="004C3BF4"/>
    <w:rsid w:val="004C454B"/>
    <w:rsid w:val="004C68C4"/>
    <w:rsid w:val="004C7703"/>
    <w:rsid w:val="004D0228"/>
    <w:rsid w:val="004D07CA"/>
    <w:rsid w:val="004D1731"/>
    <w:rsid w:val="004D22F4"/>
    <w:rsid w:val="004D27D7"/>
    <w:rsid w:val="004D3245"/>
    <w:rsid w:val="004D3C4F"/>
    <w:rsid w:val="004D7C84"/>
    <w:rsid w:val="004E0925"/>
    <w:rsid w:val="004E1970"/>
    <w:rsid w:val="004E24B2"/>
    <w:rsid w:val="004E24FF"/>
    <w:rsid w:val="004E2F4F"/>
    <w:rsid w:val="004E3223"/>
    <w:rsid w:val="004E49BC"/>
    <w:rsid w:val="004E6ECA"/>
    <w:rsid w:val="004E70C5"/>
    <w:rsid w:val="004E7D6B"/>
    <w:rsid w:val="004F0945"/>
    <w:rsid w:val="004F195A"/>
    <w:rsid w:val="004F5E03"/>
    <w:rsid w:val="004F5F0A"/>
    <w:rsid w:val="004F6BE0"/>
    <w:rsid w:val="004F7FF8"/>
    <w:rsid w:val="0050015B"/>
    <w:rsid w:val="005022F8"/>
    <w:rsid w:val="005028C2"/>
    <w:rsid w:val="00503737"/>
    <w:rsid w:val="00507854"/>
    <w:rsid w:val="00507E97"/>
    <w:rsid w:val="00510100"/>
    <w:rsid w:val="00512735"/>
    <w:rsid w:val="00514617"/>
    <w:rsid w:val="005148ED"/>
    <w:rsid w:val="00515EB1"/>
    <w:rsid w:val="005161EF"/>
    <w:rsid w:val="0051687E"/>
    <w:rsid w:val="00516EDF"/>
    <w:rsid w:val="005200A4"/>
    <w:rsid w:val="00520559"/>
    <w:rsid w:val="00520659"/>
    <w:rsid w:val="00521BDE"/>
    <w:rsid w:val="005227F2"/>
    <w:rsid w:val="005242CA"/>
    <w:rsid w:val="00525636"/>
    <w:rsid w:val="005302A4"/>
    <w:rsid w:val="005304FF"/>
    <w:rsid w:val="00530B70"/>
    <w:rsid w:val="00530CB7"/>
    <w:rsid w:val="00531093"/>
    <w:rsid w:val="005316DA"/>
    <w:rsid w:val="0053335F"/>
    <w:rsid w:val="00534354"/>
    <w:rsid w:val="00534356"/>
    <w:rsid w:val="0053445B"/>
    <w:rsid w:val="005348FF"/>
    <w:rsid w:val="00535D4C"/>
    <w:rsid w:val="005403BA"/>
    <w:rsid w:val="00542212"/>
    <w:rsid w:val="0054229F"/>
    <w:rsid w:val="00542516"/>
    <w:rsid w:val="0054328C"/>
    <w:rsid w:val="00543CA0"/>
    <w:rsid w:val="00543E79"/>
    <w:rsid w:val="0054469F"/>
    <w:rsid w:val="00545546"/>
    <w:rsid w:val="005473AE"/>
    <w:rsid w:val="005501A8"/>
    <w:rsid w:val="005514A7"/>
    <w:rsid w:val="00553505"/>
    <w:rsid w:val="005547C4"/>
    <w:rsid w:val="005600F5"/>
    <w:rsid w:val="005605AE"/>
    <w:rsid w:val="00561E23"/>
    <w:rsid w:val="00564D16"/>
    <w:rsid w:val="00565324"/>
    <w:rsid w:val="0056789E"/>
    <w:rsid w:val="005709E1"/>
    <w:rsid w:val="00571261"/>
    <w:rsid w:val="00573013"/>
    <w:rsid w:val="00573490"/>
    <w:rsid w:val="005738E9"/>
    <w:rsid w:val="00575101"/>
    <w:rsid w:val="0057736F"/>
    <w:rsid w:val="005774C5"/>
    <w:rsid w:val="005809A2"/>
    <w:rsid w:val="00580D19"/>
    <w:rsid w:val="0058173A"/>
    <w:rsid w:val="00581A41"/>
    <w:rsid w:val="0058259F"/>
    <w:rsid w:val="00582F73"/>
    <w:rsid w:val="00583701"/>
    <w:rsid w:val="00583ADB"/>
    <w:rsid w:val="00583D40"/>
    <w:rsid w:val="00583FB6"/>
    <w:rsid w:val="005849F1"/>
    <w:rsid w:val="00587811"/>
    <w:rsid w:val="00587DE5"/>
    <w:rsid w:val="00590013"/>
    <w:rsid w:val="00590C46"/>
    <w:rsid w:val="00591E7A"/>
    <w:rsid w:val="00591F6A"/>
    <w:rsid w:val="005943CD"/>
    <w:rsid w:val="005959F1"/>
    <w:rsid w:val="00596B3C"/>
    <w:rsid w:val="00597621"/>
    <w:rsid w:val="005A0F69"/>
    <w:rsid w:val="005A1A46"/>
    <w:rsid w:val="005A1C47"/>
    <w:rsid w:val="005A509A"/>
    <w:rsid w:val="005A6513"/>
    <w:rsid w:val="005A6602"/>
    <w:rsid w:val="005A7295"/>
    <w:rsid w:val="005A7441"/>
    <w:rsid w:val="005B1416"/>
    <w:rsid w:val="005B157C"/>
    <w:rsid w:val="005B1D2B"/>
    <w:rsid w:val="005B1F45"/>
    <w:rsid w:val="005B45CF"/>
    <w:rsid w:val="005B5096"/>
    <w:rsid w:val="005B51B6"/>
    <w:rsid w:val="005B5533"/>
    <w:rsid w:val="005B55EF"/>
    <w:rsid w:val="005B5F0E"/>
    <w:rsid w:val="005B6BB6"/>
    <w:rsid w:val="005C0710"/>
    <w:rsid w:val="005C17AD"/>
    <w:rsid w:val="005C5B43"/>
    <w:rsid w:val="005C698B"/>
    <w:rsid w:val="005C763C"/>
    <w:rsid w:val="005C7665"/>
    <w:rsid w:val="005D1207"/>
    <w:rsid w:val="005D1DBD"/>
    <w:rsid w:val="005D26BE"/>
    <w:rsid w:val="005D4C85"/>
    <w:rsid w:val="005D6187"/>
    <w:rsid w:val="005D6BDC"/>
    <w:rsid w:val="005D6EE0"/>
    <w:rsid w:val="005D6FA4"/>
    <w:rsid w:val="005E14E9"/>
    <w:rsid w:val="005E2223"/>
    <w:rsid w:val="005E2F6E"/>
    <w:rsid w:val="005E2FF9"/>
    <w:rsid w:val="005E4597"/>
    <w:rsid w:val="005E60FB"/>
    <w:rsid w:val="005E63CD"/>
    <w:rsid w:val="005E68C1"/>
    <w:rsid w:val="005E7C2F"/>
    <w:rsid w:val="005F1BA7"/>
    <w:rsid w:val="005F216C"/>
    <w:rsid w:val="005F23ED"/>
    <w:rsid w:val="005F2A95"/>
    <w:rsid w:val="005F2F82"/>
    <w:rsid w:val="005F3889"/>
    <w:rsid w:val="005F4BAA"/>
    <w:rsid w:val="005F4F3A"/>
    <w:rsid w:val="005F6314"/>
    <w:rsid w:val="005F75BE"/>
    <w:rsid w:val="005F760E"/>
    <w:rsid w:val="0060247B"/>
    <w:rsid w:val="0060299F"/>
    <w:rsid w:val="006041B3"/>
    <w:rsid w:val="0060594D"/>
    <w:rsid w:val="00606456"/>
    <w:rsid w:val="00606B8B"/>
    <w:rsid w:val="00610E5B"/>
    <w:rsid w:val="00611CC4"/>
    <w:rsid w:val="006124B2"/>
    <w:rsid w:val="00612B87"/>
    <w:rsid w:val="0061347B"/>
    <w:rsid w:val="006146A5"/>
    <w:rsid w:val="00615E3B"/>
    <w:rsid w:val="00616BEF"/>
    <w:rsid w:val="00616E1D"/>
    <w:rsid w:val="00616F5E"/>
    <w:rsid w:val="006172EA"/>
    <w:rsid w:val="006174BE"/>
    <w:rsid w:val="006177EF"/>
    <w:rsid w:val="00621649"/>
    <w:rsid w:val="00622D3A"/>
    <w:rsid w:val="00624C64"/>
    <w:rsid w:val="006256CE"/>
    <w:rsid w:val="00625C11"/>
    <w:rsid w:val="00625E4D"/>
    <w:rsid w:val="00627D4C"/>
    <w:rsid w:val="006300D3"/>
    <w:rsid w:val="00631CAC"/>
    <w:rsid w:val="00632E22"/>
    <w:rsid w:val="006330D2"/>
    <w:rsid w:val="006336B2"/>
    <w:rsid w:val="00633E3E"/>
    <w:rsid w:val="00635155"/>
    <w:rsid w:val="006355F4"/>
    <w:rsid w:val="00635B32"/>
    <w:rsid w:val="00637355"/>
    <w:rsid w:val="00637451"/>
    <w:rsid w:val="00637FAB"/>
    <w:rsid w:val="006414E6"/>
    <w:rsid w:val="00643401"/>
    <w:rsid w:val="00643412"/>
    <w:rsid w:val="006437E5"/>
    <w:rsid w:val="0064383C"/>
    <w:rsid w:val="00644387"/>
    <w:rsid w:val="00646CE9"/>
    <w:rsid w:val="00647495"/>
    <w:rsid w:val="006479D9"/>
    <w:rsid w:val="00647D0E"/>
    <w:rsid w:val="00651748"/>
    <w:rsid w:val="00651DC8"/>
    <w:rsid w:val="00652477"/>
    <w:rsid w:val="006537E2"/>
    <w:rsid w:val="006541CF"/>
    <w:rsid w:val="006550CA"/>
    <w:rsid w:val="006558F9"/>
    <w:rsid w:val="00656D3F"/>
    <w:rsid w:val="00656F1A"/>
    <w:rsid w:val="00657119"/>
    <w:rsid w:val="006603C3"/>
    <w:rsid w:val="006607E7"/>
    <w:rsid w:val="00660B3D"/>
    <w:rsid w:val="00662E01"/>
    <w:rsid w:val="00662F8A"/>
    <w:rsid w:val="00664A37"/>
    <w:rsid w:val="00667E25"/>
    <w:rsid w:val="00673CF7"/>
    <w:rsid w:val="0067638A"/>
    <w:rsid w:val="00676AE8"/>
    <w:rsid w:val="00677E41"/>
    <w:rsid w:val="00680381"/>
    <w:rsid w:val="00680D0B"/>
    <w:rsid w:val="006826D0"/>
    <w:rsid w:val="0068278C"/>
    <w:rsid w:val="00683ED3"/>
    <w:rsid w:val="00684980"/>
    <w:rsid w:val="006868C0"/>
    <w:rsid w:val="00690936"/>
    <w:rsid w:val="006912DA"/>
    <w:rsid w:val="0069209F"/>
    <w:rsid w:val="00692DA8"/>
    <w:rsid w:val="00693415"/>
    <w:rsid w:val="00693E3F"/>
    <w:rsid w:val="00694AAE"/>
    <w:rsid w:val="00694B7C"/>
    <w:rsid w:val="00694E95"/>
    <w:rsid w:val="00695BE5"/>
    <w:rsid w:val="0069643C"/>
    <w:rsid w:val="006979BF"/>
    <w:rsid w:val="00697E9A"/>
    <w:rsid w:val="00697F5C"/>
    <w:rsid w:val="006A10A9"/>
    <w:rsid w:val="006A11CB"/>
    <w:rsid w:val="006A281F"/>
    <w:rsid w:val="006A3FB7"/>
    <w:rsid w:val="006A5C4E"/>
    <w:rsid w:val="006A61E8"/>
    <w:rsid w:val="006A7D7E"/>
    <w:rsid w:val="006B3FC7"/>
    <w:rsid w:val="006B4EB3"/>
    <w:rsid w:val="006B5212"/>
    <w:rsid w:val="006B6163"/>
    <w:rsid w:val="006B6366"/>
    <w:rsid w:val="006B70CF"/>
    <w:rsid w:val="006B7EE6"/>
    <w:rsid w:val="006C0976"/>
    <w:rsid w:val="006C1684"/>
    <w:rsid w:val="006C327F"/>
    <w:rsid w:val="006C3457"/>
    <w:rsid w:val="006C35DB"/>
    <w:rsid w:val="006C3735"/>
    <w:rsid w:val="006C3739"/>
    <w:rsid w:val="006C3DAC"/>
    <w:rsid w:val="006C3F1A"/>
    <w:rsid w:val="006C44B6"/>
    <w:rsid w:val="006C5785"/>
    <w:rsid w:val="006C57D3"/>
    <w:rsid w:val="006C5A97"/>
    <w:rsid w:val="006C64D7"/>
    <w:rsid w:val="006C6F1E"/>
    <w:rsid w:val="006C7204"/>
    <w:rsid w:val="006D0B1F"/>
    <w:rsid w:val="006D1E24"/>
    <w:rsid w:val="006D3574"/>
    <w:rsid w:val="006D3969"/>
    <w:rsid w:val="006D4650"/>
    <w:rsid w:val="006D73B0"/>
    <w:rsid w:val="006E0B7B"/>
    <w:rsid w:val="006E169C"/>
    <w:rsid w:val="006E2F76"/>
    <w:rsid w:val="006E3CD3"/>
    <w:rsid w:val="006E3E54"/>
    <w:rsid w:val="006E4787"/>
    <w:rsid w:val="006E4F7A"/>
    <w:rsid w:val="006E4FF8"/>
    <w:rsid w:val="006E69B3"/>
    <w:rsid w:val="006E72AE"/>
    <w:rsid w:val="006F2060"/>
    <w:rsid w:val="006F24B0"/>
    <w:rsid w:val="006F510F"/>
    <w:rsid w:val="006F5361"/>
    <w:rsid w:val="006F5A40"/>
    <w:rsid w:val="006F6FA6"/>
    <w:rsid w:val="006F702F"/>
    <w:rsid w:val="006F7374"/>
    <w:rsid w:val="006F79E9"/>
    <w:rsid w:val="00700A7C"/>
    <w:rsid w:val="00701E8C"/>
    <w:rsid w:val="00703F50"/>
    <w:rsid w:val="00704EC4"/>
    <w:rsid w:val="00704F0D"/>
    <w:rsid w:val="0070651A"/>
    <w:rsid w:val="00706DD4"/>
    <w:rsid w:val="007076CD"/>
    <w:rsid w:val="00711072"/>
    <w:rsid w:val="007116E4"/>
    <w:rsid w:val="00711852"/>
    <w:rsid w:val="007134FF"/>
    <w:rsid w:val="0071419D"/>
    <w:rsid w:val="0071454E"/>
    <w:rsid w:val="00714CAB"/>
    <w:rsid w:val="00714DD9"/>
    <w:rsid w:val="00714F6F"/>
    <w:rsid w:val="00716DD5"/>
    <w:rsid w:val="007207A0"/>
    <w:rsid w:val="00721719"/>
    <w:rsid w:val="007218C3"/>
    <w:rsid w:val="00723567"/>
    <w:rsid w:val="007243F8"/>
    <w:rsid w:val="00725663"/>
    <w:rsid w:val="00726091"/>
    <w:rsid w:val="007265E8"/>
    <w:rsid w:val="00731D81"/>
    <w:rsid w:val="00732CEF"/>
    <w:rsid w:val="00732D8D"/>
    <w:rsid w:val="00732EBA"/>
    <w:rsid w:val="00734133"/>
    <w:rsid w:val="007341CF"/>
    <w:rsid w:val="0073456F"/>
    <w:rsid w:val="00734FBC"/>
    <w:rsid w:val="00741E45"/>
    <w:rsid w:val="00742141"/>
    <w:rsid w:val="0074312B"/>
    <w:rsid w:val="00743228"/>
    <w:rsid w:val="00743CFC"/>
    <w:rsid w:val="00744FFC"/>
    <w:rsid w:val="00746EE9"/>
    <w:rsid w:val="00751AE2"/>
    <w:rsid w:val="00753151"/>
    <w:rsid w:val="00753505"/>
    <w:rsid w:val="007545DC"/>
    <w:rsid w:val="0075594E"/>
    <w:rsid w:val="00755DCC"/>
    <w:rsid w:val="00756022"/>
    <w:rsid w:val="0076103F"/>
    <w:rsid w:val="0076273A"/>
    <w:rsid w:val="00762A2A"/>
    <w:rsid w:val="00763061"/>
    <w:rsid w:val="007639A3"/>
    <w:rsid w:val="00763A24"/>
    <w:rsid w:val="00766B60"/>
    <w:rsid w:val="0077122F"/>
    <w:rsid w:val="007716B6"/>
    <w:rsid w:val="00771F86"/>
    <w:rsid w:val="007728A2"/>
    <w:rsid w:val="007744AD"/>
    <w:rsid w:val="00774C21"/>
    <w:rsid w:val="00780480"/>
    <w:rsid w:val="0078188A"/>
    <w:rsid w:val="00781D8A"/>
    <w:rsid w:val="00782FEE"/>
    <w:rsid w:val="00783BC7"/>
    <w:rsid w:val="00784096"/>
    <w:rsid w:val="007877D5"/>
    <w:rsid w:val="00791CFD"/>
    <w:rsid w:val="007927A2"/>
    <w:rsid w:val="007929B4"/>
    <w:rsid w:val="00795F74"/>
    <w:rsid w:val="0079616F"/>
    <w:rsid w:val="00796BB0"/>
    <w:rsid w:val="00796CCB"/>
    <w:rsid w:val="007973AA"/>
    <w:rsid w:val="00797692"/>
    <w:rsid w:val="007A1A6B"/>
    <w:rsid w:val="007A1A9F"/>
    <w:rsid w:val="007A25DD"/>
    <w:rsid w:val="007A361F"/>
    <w:rsid w:val="007A4AA7"/>
    <w:rsid w:val="007A4B28"/>
    <w:rsid w:val="007A5441"/>
    <w:rsid w:val="007A5619"/>
    <w:rsid w:val="007A5F97"/>
    <w:rsid w:val="007A66C1"/>
    <w:rsid w:val="007A6AE8"/>
    <w:rsid w:val="007A75FE"/>
    <w:rsid w:val="007A786D"/>
    <w:rsid w:val="007A78A8"/>
    <w:rsid w:val="007B0491"/>
    <w:rsid w:val="007B052D"/>
    <w:rsid w:val="007B057B"/>
    <w:rsid w:val="007B125C"/>
    <w:rsid w:val="007B2F98"/>
    <w:rsid w:val="007B3149"/>
    <w:rsid w:val="007B343F"/>
    <w:rsid w:val="007B3927"/>
    <w:rsid w:val="007B5036"/>
    <w:rsid w:val="007B6419"/>
    <w:rsid w:val="007B703A"/>
    <w:rsid w:val="007B7131"/>
    <w:rsid w:val="007B78A9"/>
    <w:rsid w:val="007C07A8"/>
    <w:rsid w:val="007C0EB9"/>
    <w:rsid w:val="007C3369"/>
    <w:rsid w:val="007C4C1C"/>
    <w:rsid w:val="007C7480"/>
    <w:rsid w:val="007D1955"/>
    <w:rsid w:val="007D454C"/>
    <w:rsid w:val="007D4699"/>
    <w:rsid w:val="007D5572"/>
    <w:rsid w:val="007D772E"/>
    <w:rsid w:val="007E0769"/>
    <w:rsid w:val="007E25AE"/>
    <w:rsid w:val="007E3F35"/>
    <w:rsid w:val="007E3FB4"/>
    <w:rsid w:val="007E652B"/>
    <w:rsid w:val="007E7E11"/>
    <w:rsid w:val="007F0ECE"/>
    <w:rsid w:val="007F103E"/>
    <w:rsid w:val="007F169F"/>
    <w:rsid w:val="007F19E1"/>
    <w:rsid w:val="007F306F"/>
    <w:rsid w:val="007F3CBB"/>
    <w:rsid w:val="007F5995"/>
    <w:rsid w:val="007F6996"/>
    <w:rsid w:val="0080007B"/>
    <w:rsid w:val="00800580"/>
    <w:rsid w:val="008009FF"/>
    <w:rsid w:val="00801333"/>
    <w:rsid w:val="008014A9"/>
    <w:rsid w:val="0080180B"/>
    <w:rsid w:val="0080185D"/>
    <w:rsid w:val="0080277F"/>
    <w:rsid w:val="00802C79"/>
    <w:rsid w:val="0080646B"/>
    <w:rsid w:val="008065B3"/>
    <w:rsid w:val="00807B45"/>
    <w:rsid w:val="00810E84"/>
    <w:rsid w:val="008114A7"/>
    <w:rsid w:val="0081336D"/>
    <w:rsid w:val="008133C8"/>
    <w:rsid w:val="008163A1"/>
    <w:rsid w:val="00816614"/>
    <w:rsid w:val="00816620"/>
    <w:rsid w:val="00816A33"/>
    <w:rsid w:val="0082162F"/>
    <w:rsid w:val="00821775"/>
    <w:rsid w:val="00822871"/>
    <w:rsid w:val="00824749"/>
    <w:rsid w:val="0082728A"/>
    <w:rsid w:val="008275EF"/>
    <w:rsid w:val="00830214"/>
    <w:rsid w:val="00830B76"/>
    <w:rsid w:val="008320C9"/>
    <w:rsid w:val="00832641"/>
    <w:rsid w:val="0083474E"/>
    <w:rsid w:val="00835E5C"/>
    <w:rsid w:val="0083716F"/>
    <w:rsid w:val="00837ECC"/>
    <w:rsid w:val="00840885"/>
    <w:rsid w:val="0084207A"/>
    <w:rsid w:val="00843D83"/>
    <w:rsid w:val="00845388"/>
    <w:rsid w:val="00846062"/>
    <w:rsid w:val="0084705D"/>
    <w:rsid w:val="00852484"/>
    <w:rsid w:val="00852D1A"/>
    <w:rsid w:val="0085318D"/>
    <w:rsid w:val="00855FA8"/>
    <w:rsid w:val="00860C7B"/>
    <w:rsid w:val="00861634"/>
    <w:rsid w:val="00863311"/>
    <w:rsid w:val="00864B0D"/>
    <w:rsid w:val="00866F72"/>
    <w:rsid w:val="00866FEA"/>
    <w:rsid w:val="00867141"/>
    <w:rsid w:val="00870132"/>
    <w:rsid w:val="00870EEC"/>
    <w:rsid w:val="008722E5"/>
    <w:rsid w:val="008732F4"/>
    <w:rsid w:val="0087374A"/>
    <w:rsid w:val="008741E8"/>
    <w:rsid w:val="00875D54"/>
    <w:rsid w:val="00875DD7"/>
    <w:rsid w:val="00876272"/>
    <w:rsid w:val="00876DAC"/>
    <w:rsid w:val="008778A2"/>
    <w:rsid w:val="0088000D"/>
    <w:rsid w:val="00880BE2"/>
    <w:rsid w:val="00880DBE"/>
    <w:rsid w:val="008837BA"/>
    <w:rsid w:val="008849BF"/>
    <w:rsid w:val="00884D46"/>
    <w:rsid w:val="00885116"/>
    <w:rsid w:val="008877F5"/>
    <w:rsid w:val="00887F75"/>
    <w:rsid w:val="00890BCD"/>
    <w:rsid w:val="00893678"/>
    <w:rsid w:val="0089678B"/>
    <w:rsid w:val="0089709E"/>
    <w:rsid w:val="008A1733"/>
    <w:rsid w:val="008A1F26"/>
    <w:rsid w:val="008A24A1"/>
    <w:rsid w:val="008A425D"/>
    <w:rsid w:val="008A49C4"/>
    <w:rsid w:val="008A54B0"/>
    <w:rsid w:val="008A7DC5"/>
    <w:rsid w:val="008B182A"/>
    <w:rsid w:val="008B6145"/>
    <w:rsid w:val="008B6C81"/>
    <w:rsid w:val="008B733A"/>
    <w:rsid w:val="008B73CA"/>
    <w:rsid w:val="008C0BCA"/>
    <w:rsid w:val="008C178B"/>
    <w:rsid w:val="008C1BC7"/>
    <w:rsid w:val="008C2A4D"/>
    <w:rsid w:val="008C3840"/>
    <w:rsid w:val="008C3F84"/>
    <w:rsid w:val="008C779C"/>
    <w:rsid w:val="008D03E0"/>
    <w:rsid w:val="008D0E03"/>
    <w:rsid w:val="008D0E19"/>
    <w:rsid w:val="008D1946"/>
    <w:rsid w:val="008D3074"/>
    <w:rsid w:val="008D5083"/>
    <w:rsid w:val="008D6CDF"/>
    <w:rsid w:val="008E3761"/>
    <w:rsid w:val="008E3BE6"/>
    <w:rsid w:val="008E4C78"/>
    <w:rsid w:val="008E7C3F"/>
    <w:rsid w:val="008F204F"/>
    <w:rsid w:val="008F4E02"/>
    <w:rsid w:val="008F56EC"/>
    <w:rsid w:val="008F5B84"/>
    <w:rsid w:val="008F61F2"/>
    <w:rsid w:val="008F798D"/>
    <w:rsid w:val="00900307"/>
    <w:rsid w:val="0090060E"/>
    <w:rsid w:val="00902408"/>
    <w:rsid w:val="00902D6A"/>
    <w:rsid w:val="009040F6"/>
    <w:rsid w:val="009045E4"/>
    <w:rsid w:val="00904B2B"/>
    <w:rsid w:val="00904F2F"/>
    <w:rsid w:val="00905370"/>
    <w:rsid w:val="00906415"/>
    <w:rsid w:val="0090723B"/>
    <w:rsid w:val="00907378"/>
    <w:rsid w:val="009077FF"/>
    <w:rsid w:val="00911328"/>
    <w:rsid w:val="009119DB"/>
    <w:rsid w:val="00911BA0"/>
    <w:rsid w:val="00911D21"/>
    <w:rsid w:val="0091268E"/>
    <w:rsid w:val="00913CF6"/>
    <w:rsid w:val="00913D40"/>
    <w:rsid w:val="0091458B"/>
    <w:rsid w:val="00916E62"/>
    <w:rsid w:val="0091748E"/>
    <w:rsid w:val="0092084A"/>
    <w:rsid w:val="00921587"/>
    <w:rsid w:val="00922300"/>
    <w:rsid w:val="0092292B"/>
    <w:rsid w:val="00923D39"/>
    <w:rsid w:val="009255EB"/>
    <w:rsid w:val="009304CD"/>
    <w:rsid w:val="009314B7"/>
    <w:rsid w:val="009323FC"/>
    <w:rsid w:val="00932847"/>
    <w:rsid w:val="00932CD8"/>
    <w:rsid w:val="00932FA6"/>
    <w:rsid w:val="0093350A"/>
    <w:rsid w:val="00934835"/>
    <w:rsid w:val="00935E61"/>
    <w:rsid w:val="00937277"/>
    <w:rsid w:val="00937627"/>
    <w:rsid w:val="00937A0A"/>
    <w:rsid w:val="0094017E"/>
    <w:rsid w:val="009430C1"/>
    <w:rsid w:val="0094331E"/>
    <w:rsid w:val="00943A7E"/>
    <w:rsid w:val="00945792"/>
    <w:rsid w:val="00945F08"/>
    <w:rsid w:val="0094774A"/>
    <w:rsid w:val="009517FB"/>
    <w:rsid w:val="00952287"/>
    <w:rsid w:val="009539B9"/>
    <w:rsid w:val="00954EA4"/>
    <w:rsid w:val="00957742"/>
    <w:rsid w:val="00962045"/>
    <w:rsid w:val="00963ED1"/>
    <w:rsid w:val="009644B0"/>
    <w:rsid w:val="00965DEC"/>
    <w:rsid w:val="00966853"/>
    <w:rsid w:val="00966B34"/>
    <w:rsid w:val="00967027"/>
    <w:rsid w:val="00970EB8"/>
    <w:rsid w:val="00971546"/>
    <w:rsid w:val="00971A4E"/>
    <w:rsid w:val="00972253"/>
    <w:rsid w:val="00974FE6"/>
    <w:rsid w:val="00976670"/>
    <w:rsid w:val="00976D44"/>
    <w:rsid w:val="009803D1"/>
    <w:rsid w:val="00980F02"/>
    <w:rsid w:val="009822E0"/>
    <w:rsid w:val="00982D27"/>
    <w:rsid w:val="00983604"/>
    <w:rsid w:val="009845B8"/>
    <w:rsid w:val="00984F6F"/>
    <w:rsid w:val="0098572E"/>
    <w:rsid w:val="0098690A"/>
    <w:rsid w:val="009876B2"/>
    <w:rsid w:val="00987D9B"/>
    <w:rsid w:val="00990C22"/>
    <w:rsid w:val="00991313"/>
    <w:rsid w:val="00991447"/>
    <w:rsid w:val="00991742"/>
    <w:rsid w:val="00993654"/>
    <w:rsid w:val="00993680"/>
    <w:rsid w:val="00993887"/>
    <w:rsid w:val="00994596"/>
    <w:rsid w:val="0099463C"/>
    <w:rsid w:val="00994D79"/>
    <w:rsid w:val="0099717A"/>
    <w:rsid w:val="0099791A"/>
    <w:rsid w:val="009A03B3"/>
    <w:rsid w:val="009A0AF5"/>
    <w:rsid w:val="009A0DAC"/>
    <w:rsid w:val="009A184D"/>
    <w:rsid w:val="009A1DD0"/>
    <w:rsid w:val="009A2F08"/>
    <w:rsid w:val="009A38E2"/>
    <w:rsid w:val="009A4A5F"/>
    <w:rsid w:val="009A5ADF"/>
    <w:rsid w:val="009A5DB0"/>
    <w:rsid w:val="009A7438"/>
    <w:rsid w:val="009B0A34"/>
    <w:rsid w:val="009B1E34"/>
    <w:rsid w:val="009B1FB3"/>
    <w:rsid w:val="009B33ED"/>
    <w:rsid w:val="009B3539"/>
    <w:rsid w:val="009B3AE4"/>
    <w:rsid w:val="009B6748"/>
    <w:rsid w:val="009B67FB"/>
    <w:rsid w:val="009B77C4"/>
    <w:rsid w:val="009B7AB7"/>
    <w:rsid w:val="009C0737"/>
    <w:rsid w:val="009C0BC2"/>
    <w:rsid w:val="009C1319"/>
    <w:rsid w:val="009C28CC"/>
    <w:rsid w:val="009C37E7"/>
    <w:rsid w:val="009C436E"/>
    <w:rsid w:val="009C4A93"/>
    <w:rsid w:val="009C5F17"/>
    <w:rsid w:val="009C6CDA"/>
    <w:rsid w:val="009C722B"/>
    <w:rsid w:val="009C7D8D"/>
    <w:rsid w:val="009D06EF"/>
    <w:rsid w:val="009D1191"/>
    <w:rsid w:val="009D1260"/>
    <w:rsid w:val="009D138F"/>
    <w:rsid w:val="009D1535"/>
    <w:rsid w:val="009D1CC4"/>
    <w:rsid w:val="009D231E"/>
    <w:rsid w:val="009D289C"/>
    <w:rsid w:val="009D2B2D"/>
    <w:rsid w:val="009D3253"/>
    <w:rsid w:val="009D458C"/>
    <w:rsid w:val="009D4A1E"/>
    <w:rsid w:val="009D4D93"/>
    <w:rsid w:val="009D5FDA"/>
    <w:rsid w:val="009D62E6"/>
    <w:rsid w:val="009D6669"/>
    <w:rsid w:val="009D7270"/>
    <w:rsid w:val="009D7598"/>
    <w:rsid w:val="009D77C1"/>
    <w:rsid w:val="009D7EAD"/>
    <w:rsid w:val="009E1453"/>
    <w:rsid w:val="009E15E9"/>
    <w:rsid w:val="009E245A"/>
    <w:rsid w:val="009E274F"/>
    <w:rsid w:val="009E2A84"/>
    <w:rsid w:val="009E2AE4"/>
    <w:rsid w:val="009E4046"/>
    <w:rsid w:val="009E53F5"/>
    <w:rsid w:val="009E6B4E"/>
    <w:rsid w:val="009E7330"/>
    <w:rsid w:val="009F01B6"/>
    <w:rsid w:val="009F0DDF"/>
    <w:rsid w:val="009F162A"/>
    <w:rsid w:val="009F2931"/>
    <w:rsid w:val="009F2DF8"/>
    <w:rsid w:val="009F34D1"/>
    <w:rsid w:val="009F514B"/>
    <w:rsid w:val="009F5A31"/>
    <w:rsid w:val="009F5CBB"/>
    <w:rsid w:val="009F60E9"/>
    <w:rsid w:val="009F6134"/>
    <w:rsid w:val="009F6275"/>
    <w:rsid w:val="009F7A0C"/>
    <w:rsid w:val="009F7F8B"/>
    <w:rsid w:val="00A00023"/>
    <w:rsid w:val="00A00809"/>
    <w:rsid w:val="00A00EA5"/>
    <w:rsid w:val="00A02163"/>
    <w:rsid w:val="00A03872"/>
    <w:rsid w:val="00A03EAC"/>
    <w:rsid w:val="00A05047"/>
    <w:rsid w:val="00A05C83"/>
    <w:rsid w:val="00A06708"/>
    <w:rsid w:val="00A06AE7"/>
    <w:rsid w:val="00A0760D"/>
    <w:rsid w:val="00A07DA2"/>
    <w:rsid w:val="00A12820"/>
    <w:rsid w:val="00A13633"/>
    <w:rsid w:val="00A14013"/>
    <w:rsid w:val="00A146D0"/>
    <w:rsid w:val="00A15649"/>
    <w:rsid w:val="00A17508"/>
    <w:rsid w:val="00A204B0"/>
    <w:rsid w:val="00A209C3"/>
    <w:rsid w:val="00A21041"/>
    <w:rsid w:val="00A22B23"/>
    <w:rsid w:val="00A238D7"/>
    <w:rsid w:val="00A2409A"/>
    <w:rsid w:val="00A240BB"/>
    <w:rsid w:val="00A24819"/>
    <w:rsid w:val="00A24B66"/>
    <w:rsid w:val="00A25E35"/>
    <w:rsid w:val="00A2705E"/>
    <w:rsid w:val="00A3083F"/>
    <w:rsid w:val="00A30A27"/>
    <w:rsid w:val="00A30FAC"/>
    <w:rsid w:val="00A3195D"/>
    <w:rsid w:val="00A31A42"/>
    <w:rsid w:val="00A321DA"/>
    <w:rsid w:val="00A339BF"/>
    <w:rsid w:val="00A340C8"/>
    <w:rsid w:val="00A34E81"/>
    <w:rsid w:val="00A41BE8"/>
    <w:rsid w:val="00A41D9E"/>
    <w:rsid w:val="00A44994"/>
    <w:rsid w:val="00A44BCB"/>
    <w:rsid w:val="00A45888"/>
    <w:rsid w:val="00A465DA"/>
    <w:rsid w:val="00A46FC2"/>
    <w:rsid w:val="00A50242"/>
    <w:rsid w:val="00A50975"/>
    <w:rsid w:val="00A50EB0"/>
    <w:rsid w:val="00A51335"/>
    <w:rsid w:val="00A526BC"/>
    <w:rsid w:val="00A52776"/>
    <w:rsid w:val="00A527BB"/>
    <w:rsid w:val="00A53AA9"/>
    <w:rsid w:val="00A53C18"/>
    <w:rsid w:val="00A54998"/>
    <w:rsid w:val="00A56AF6"/>
    <w:rsid w:val="00A60223"/>
    <w:rsid w:val="00A60EF4"/>
    <w:rsid w:val="00A613AC"/>
    <w:rsid w:val="00A63071"/>
    <w:rsid w:val="00A6371D"/>
    <w:rsid w:val="00A63A5F"/>
    <w:rsid w:val="00A643FA"/>
    <w:rsid w:val="00A65011"/>
    <w:rsid w:val="00A651F6"/>
    <w:rsid w:val="00A6565C"/>
    <w:rsid w:val="00A66FA9"/>
    <w:rsid w:val="00A6742E"/>
    <w:rsid w:val="00A67D99"/>
    <w:rsid w:val="00A70DC6"/>
    <w:rsid w:val="00A70DC8"/>
    <w:rsid w:val="00A71220"/>
    <w:rsid w:val="00A7172A"/>
    <w:rsid w:val="00A73942"/>
    <w:rsid w:val="00A73B0D"/>
    <w:rsid w:val="00A73B72"/>
    <w:rsid w:val="00A748C4"/>
    <w:rsid w:val="00A74ADB"/>
    <w:rsid w:val="00A81304"/>
    <w:rsid w:val="00A822A1"/>
    <w:rsid w:val="00A8332F"/>
    <w:rsid w:val="00A8340D"/>
    <w:rsid w:val="00A84359"/>
    <w:rsid w:val="00A84B9D"/>
    <w:rsid w:val="00A84DFB"/>
    <w:rsid w:val="00A8604B"/>
    <w:rsid w:val="00A86199"/>
    <w:rsid w:val="00A86B2C"/>
    <w:rsid w:val="00A92110"/>
    <w:rsid w:val="00A925C1"/>
    <w:rsid w:val="00A92B52"/>
    <w:rsid w:val="00A931DC"/>
    <w:rsid w:val="00A94060"/>
    <w:rsid w:val="00A9446A"/>
    <w:rsid w:val="00A960E3"/>
    <w:rsid w:val="00A96DA9"/>
    <w:rsid w:val="00AA1554"/>
    <w:rsid w:val="00AA25C2"/>
    <w:rsid w:val="00AA3C2D"/>
    <w:rsid w:val="00AA40AD"/>
    <w:rsid w:val="00AA4F83"/>
    <w:rsid w:val="00AA5754"/>
    <w:rsid w:val="00AA6C6E"/>
    <w:rsid w:val="00AA7105"/>
    <w:rsid w:val="00AA74A7"/>
    <w:rsid w:val="00AB09EE"/>
    <w:rsid w:val="00AB3F74"/>
    <w:rsid w:val="00AB47A2"/>
    <w:rsid w:val="00AB693A"/>
    <w:rsid w:val="00AB720C"/>
    <w:rsid w:val="00AB7B5E"/>
    <w:rsid w:val="00AC2066"/>
    <w:rsid w:val="00AC277C"/>
    <w:rsid w:val="00AC31A6"/>
    <w:rsid w:val="00AC50FF"/>
    <w:rsid w:val="00AC529B"/>
    <w:rsid w:val="00AD1D93"/>
    <w:rsid w:val="00AD2E8A"/>
    <w:rsid w:val="00AD392E"/>
    <w:rsid w:val="00AD4488"/>
    <w:rsid w:val="00AD56E6"/>
    <w:rsid w:val="00AD67FC"/>
    <w:rsid w:val="00AD7098"/>
    <w:rsid w:val="00AD7D70"/>
    <w:rsid w:val="00AE07F9"/>
    <w:rsid w:val="00AE3FFF"/>
    <w:rsid w:val="00AE4D02"/>
    <w:rsid w:val="00AE57FA"/>
    <w:rsid w:val="00AE686E"/>
    <w:rsid w:val="00AE6BF1"/>
    <w:rsid w:val="00AE739E"/>
    <w:rsid w:val="00AE773A"/>
    <w:rsid w:val="00AF172F"/>
    <w:rsid w:val="00AF3F35"/>
    <w:rsid w:val="00AF4484"/>
    <w:rsid w:val="00AF4982"/>
    <w:rsid w:val="00AF5772"/>
    <w:rsid w:val="00AF5C1F"/>
    <w:rsid w:val="00B00D84"/>
    <w:rsid w:val="00B02077"/>
    <w:rsid w:val="00B032A1"/>
    <w:rsid w:val="00B05386"/>
    <w:rsid w:val="00B06B80"/>
    <w:rsid w:val="00B06BEA"/>
    <w:rsid w:val="00B06E09"/>
    <w:rsid w:val="00B0785F"/>
    <w:rsid w:val="00B1050A"/>
    <w:rsid w:val="00B11325"/>
    <w:rsid w:val="00B11587"/>
    <w:rsid w:val="00B13203"/>
    <w:rsid w:val="00B133C8"/>
    <w:rsid w:val="00B13686"/>
    <w:rsid w:val="00B13CB7"/>
    <w:rsid w:val="00B144E6"/>
    <w:rsid w:val="00B145A1"/>
    <w:rsid w:val="00B14788"/>
    <w:rsid w:val="00B1510D"/>
    <w:rsid w:val="00B15ACE"/>
    <w:rsid w:val="00B21C42"/>
    <w:rsid w:val="00B22A99"/>
    <w:rsid w:val="00B23364"/>
    <w:rsid w:val="00B2362D"/>
    <w:rsid w:val="00B23EA6"/>
    <w:rsid w:val="00B23F52"/>
    <w:rsid w:val="00B24183"/>
    <w:rsid w:val="00B249FB"/>
    <w:rsid w:val="00B25905"/>
    <w:rsid w:val="00B25CBE"/>
    <w:rsid w:val="00B264BA"/>
    <w:rsid w:val="00B31179"/>
    <w:rsid w:val="00B32A58"/>
    <w:rsid w:val="00B3411C"/>
    <w:rsid w:val="00B342EB"/>
    <w:rsid w:val="00B3659D"/>
    <w:rsid w:val="00B37948"/>
    <w:rsid w:val="00B405CE"/>
    <w:rsid w:val="00B4280D"/>
    <w:rsid w:val="00B46184"/>
    <w:rsid w:val="00B46E95"/>
    <w:rsid w:val="00B4723C"/>
    <w:rsid w:val="00B52259"/>
    <w:rsid w:val="00B53FB6"/>
    <w:rsid w:val="00B5426F"/>
    <w:rsid w:val="00B54BA5"/>
    <w:rsid w:val="00B57FC2"/>
    <w:rsid w:val="00B606C1"/>
    <w:rsid w:val="00B607F1"/>
    <w:rsid w:val="00B61202"/>
    <w:rsid w:val="00B614B8"/>
    <w:rsid w:val="00B63226"/>
    <w:rsid w:val="00B632FA"/>
    <w:rsid w:val="00B65A77"/>
    <w:rsid w:val="00B65D23"/>
    <w:rsid w:val="00B66093"/>
    <w:rsid w:val="00B668A7"/>
    <w:rsid w:val="00B66C02"/>
    <w:rsid w:val="00B7037C"/>
    <w:rsid w:val="00B70422"/>
    <w:rsid w:val="00B70F37"/>
    <w:rsid w:val="00B71D6D"/>
    <w:rsid w:val="00B73EFD"/>
    <w:rsid w:val="00B74869"/>
    <w:rsid w:val="00B75509"/>
    <w:rsid w:val="00B77CBF"/>
    <w:rsid w:val="00B77F15"/>
    <w:rsid w:val="00B83C6E"/>
    <w:rsid w:val="00B84949"/>
    <w:rsid w:val="00B86232"/>
    <w:rsid w:val="00B862B4"/>
    <w:rsid w:val="00B87253"/>
    <w:rsid w:val="00B8770F"/>
    <w:rsid w:val="00B92BAF"/>
    <w:rsid w:val="00B93FC6"/>
    <w:rsid w:val="00B9448A"/>
    <w:rsid w:val="00B959E5"/>
    <w:rsid w:val="00BA0B0F"/>
    <w:rsid w:val="00BA1F44"/>
    <w:rsid w:val="00BA2C08"/>
    <w:rsid w:val="00BA4847"/>
    <w:rsid w:val="00BA560E"/>
    <w:rsid w:val="00BA5662"/>
    <w:rsid w:val="00BA5874"/>
    <w:rsid w:val="00BA5E5A"/>
    <w:rsid w:val="00BA6128"/>
    <w:rsid w:val="00BA7C53"/>
    <w:rsid w:val="00BA7F71"/>
    <w:rsid w:val="00BB041A"/>
    <w:rsid w:val="00BB0948"/>
    <w:rsid w:val="00BB0BA6"/>
    <w:rsid w:val="00BB1691"/>
    <w:rsid w:val="00BB6429"/>
    <w:rsid w:val="00BB707A"/>
    <w:rsid w:val="00BB7CE5"/>
    <w:rsid w:val="00BC0741"/>
    <w:rsid w:val="00BC1F27"/>
    <w:rsid w:val="00BC2519"/>
    <w:rsid w:val="00BC2876"/>
    <w:rsid w:val="00BC368B"/>
    <w:rsid w:val="00BC4FCE"/>
    <w:rsid w:val="00BC51F4"/>
    <w:rsid w:val="00BC6D8D"/>
    <w:rsid w:val="00BC7AAB"/>
    <w:rsid w:val="00BD3984"/>
    <w:rsid w:val="00BD4648"/>
    <w:rsid w:val="00BD5DAD"/>
    <w:rsid w:val="00BD5F89"/>
    <w:rsid w:val="00BD6895"/>
    <w:rsid w:val="00BE1921"/>
    <w:rsid w:val="00BE2884"/>
    <w:rsid w:val="00BE5740"/>
    <w:rsid w:val="00BE63E9"/>
    <w:rsid w:val="00BE6936"/>
    <w:rsid w:val="00BE6CCC"/>
    <w:rsid w:val="00BE6F46"/>
    <w:rsid w:val="00BE75CE"/>
    <w:rsid w:val="00BE763F"/>
    <w:rsid w:val="00BE78B4"/>
    <w:rsid w:val="00BF0219"/>
    <w:rsid w:val="00BF06C1"/>
    <w:rsid w:val="00BF2092"/>
    <w:rsid w:val="00BF2371"/>
    <w:rsid w:val="00BF3BA8"/>
    <w:rsid w:val="00BF4038"/>
    <w:rsid w:val="00BF4189"/>
    <w:rsid w:val="00BF5246"/>
    <w:rsid w:val="00BF6455"/>
    <w:rsid w:val="00BF7A38"/>
    <w:rsid w:val="00BF7BDF"/>
    <w:rsid w:val="00C00EB6"/>
    <w:rsid w:val="00C0187E"/>
    <w:rsid w:val="00C019D5"/>
    <w:rsid w:val="00C02323"/>
    <w:rsid w:val="00C029F4"/>
    <w:rsid w:val="00C02B44"/>
    <w:rsid w:val="00C03758"/>
    <w:rsid w:val="00C03A4E"/>
    <w:rsid w:val="00C046C6"/>
    <w:rsid w:val="00C05E66"/>
    <w:rsid w:val="00C07B0A"/>
    <w:rsid w:val="00C10007"/>
    <w:rsid w:val="00C10367"/>
    <w:rsid w:val="00C10D37"/>
    <w:rsid w:val="00C119CD"/>
    <w:rsid w:val="00C12D62"/>
    <w:rsid w:val="00C13B63"/>
    <w:rsid w:val="00C1455E"/>
    <w:rsid w:val="00C16A9C"/>
    <w:rsid w:val="00C176CC"/>
    <w:rsid w:val="00C201F2"/>
    <w:rsid w:val="00C228D1"/>
    <w:rsid w:val="00C23B89"/>
    <w:rsid w:val="00C249E9"/>
    <w:rsid w:val="00C24E26"/>
    <w:rsid w:val="00C25025"/>
    <w:rsid w:val="00C25075"/>
    <w:rsid w:val="00C25433"/>
    <w:rsid w:val="00C258B6"/>
    <w:rsid w:val="00C26CB0"/>
    <w:rsid w:val="00C2721D"/>
    <w:rsid w:val="00C2738A"/>
    <w:rsid w:val="00C305AE"/>
    <w:rsid w:val="00C30F18"/>
    <w:rsid w:val="00C31846"/>
    <w:rsid w:val="00C31B6E"/>
    <w:rsid w:val="00C32C54"/>
    <w:rsid w:val="00C348E0"/>
    <w:rsid w:val="00C3495A"/>
    <w:rsid w:val="00C34AE6"/>
    <w:rsid w:val="00C34F41"/>
    <w:rsid w:val="00C350EB"/>
    <w:rsid w:val="00C352ED"/>
    <w:rsid w:val="00C358A5"/>
    <w:rsid w:val="00C40C58"/>
    <w:rsid w:val="00C40F7C"/>
    <w:rsid w:val="00C4345A"/>
    <w:rsid w:val="00C43EAA"/>
    <w:rsid w:val="00C441D6"/>
    <w:rsid w:val="00C4483E"/>
    <w:rsid w:val="00C46B8B"/>
    <w:rsid w:val="00C46E3F"/>
    <w:rsid w:val="00C47153"/>
    <w:rsid w:val="00C4789D"/>
    <w:rsid w:val="00C47A25"/>
    <w:rsid w:val="00C50531"/>
    <w:rsid w:val="00C52B93"/>
    <w:rsid w:val="00C53E65"/>
    <w:rsid w:val="00C54466"/>
    <w:rsid w:val="00C55ECA"/>
    <w:rsid w:val="00C6000A"/>
    <w:rsid w:val="00C638D3"/>
    <w:rsid w:val="00C63A64"/>
    <w:rsid w:val="00C6414D"/>
    <w:rsid w:val="00C6586D"/>
    <w:rsid w:val="00C66C63"/>
    <w:rsid w:val="00C67F76"/>
    <w:rsid w:val="00C7007A"/>
    <w:rsid w:val="00C70909"/>
    <w:rsid w:val="00C71A39"/>
    <w:rsid w:val="00C71C29"/>
    <w:rsid w:val="00C72E98"/>
    <w:rsid w:val="00C76998"/>
    <w:rsid w:val="00C77DAB"/>
    <w:rsid w:val="00C8089B"/>
    <w:rsid w:val="00C80E2A"/>
    <w:rsid w:val="00C81948"/>
    <w:rsid w:val="00C823BB"/>
    <w:rsid w:val="00C83CFD"/>
    <w:rsid w:val="00C8504B"/>
    <w:rsid w:val="00C85518"/>
    <w:rsid w:val="00C855D9"/>
    <w:rsid w:val="00C91390"/>
    <w:rsid w:val="00C922D1"/>
    <w:rsid w:val="00C92626"/>
    <w:rsid w:val="00C92FA0"/>
    <w:rsid w:val="00C94864"/>
    <w:rsid w:val="00C956C7"/>
    <w:rsid w:val="00C96B68"/>
    <w:rsid w:val="00C97326"/>
    <w:rsid w:val="00C97925"/>
    <w:rsid w:val="00CA17DD"/>
    <w:rsid w:val="00CA206F"/>
    <w:rsid w:val="00CA2E53"/>
    <w:rsid w:val="00CA2FEE"/>
    <w:rsid w:val="00CA3570"/>
    <w:rsid w:val="00CA3890"/>
    <w:rsid w:val="00CA4D62"/>
    <w:rsid w:val="00CA5C62"/>
    <w:rsid w:val="00CA601D"/>
    <w:rsid w:val="00CA7A6B"/>
    <w:rsid w:val="00CB109F"/>
    <w:rsid w:val="00CB3C4A"/>
    <w:rsid w:val="00CB5C83"/>
    <w:rsid w:val="00CC2798"/>
    <w:rsid w:val="00CC3561"/>
    <w:rsid w:val="00CC35D1"/>
    <w:rsid w:val="00CC412D"/>
    <w:rsid w:val="00CC42F6"/>
    <w:rsid w:val="00CC6075"/>
    <w:rsid w:val="00CC61D6"/>
    <w:rsid w:val="00CC656C"/>
    <w:rsid w:val="00CC7467"/>
    <w:rsid w:val="00CC7612"/>
    <w:rsid w:val="00CD0103"/>
    <w:rsid w:val="00CD0B51"/>
    <w:rsid w:val="00CD0E17"/>
    <w:rsid w:val="00CD116D"/>
    <w:rsid w:val="00CD1F40"/>
    <w:rsid w:val="00CD2D0F"/>
    <w:rsid w:val="00CD31BA"/>
    <w:rsid w:val="00CD3BC0"/>
    <w:rsid w:val="00CE2065"/>
    <w:rsid w:val="00CE25F0"/>
    <w:rsid w:val="00CE441F"/>
    <w:rsid w:val="00CE4D9B"/>
    <w:rsid w:val="00CE5A8C"/>
    <w:rsid w:val="00CE5ABD"/>
    <w:rsid w:val="00CE6797"/>
    <w:rsid w:val="00CE7967"/>
    <w:rsid w:val="00CE7ACE"/>
    <w:rsid w:val="00CF0AB0"/>
    <w:rsid w:val="00CF1E1D"/>
    <w:rsid w:val="00CF27FE"/>
    <w:rsid w:val="00CF36EF"/>
    <w:rsid w:val="00CF3761"/>
    <w:rsid w:val="00CF4659"/>
    <w:rsid w:val="00CF55A0"/>
    <w:rsid w:val="00D01BC1"/>
    <w:rsid w:val="00D027D9"/>
    <w:rsid w:val="00D05260"/>
    <w:rsid w:val="00D06B19"/>
    <w:rsid w:val="00D11353"/>
    <w:rsid w:val="00D13E87"/>
    <w:rsid w:val="00D13EAB"/>
    <w:rsid w:val="00D14875"/>
    <w:rsid w:val="00D170EF"/>
    <w:rsid w:val="00D178E8"/>
    <w:rsid w:val="00D200E4"/>
    <w:rsid w:val="00D21812"/>
    <w:rsid w:val="00D21F93"/>
    <w:rsid w:val="00D235B2"/>
    <w:rsid w:val="00D23854"/>
    <w:rsid w:val="00D250AD"/>
    <w:rsid w:val="00D258BB"/>
    <w:rsid w:val="00D258EC"/>
    <w:rsid w:val="00D25F76"/>
    <w:rsid w:val="00D3075E"/>
    <w:rsid w:val="00D30A5B"/>
    <w:rsid w:val="00D30D5A"/>
    <w:rsid w:val="00D31049"/>
    <w:rsid w:val="00D3250F"/>
    <w:rsid w:val="00D325DD"/>
    <w:rsid w:val="00D338CB"/>
    <w:rsid w:val="00D33A2B"/>
    <w:rsid w:val="00D346D4"/>
    <w:rsid w:val="00D36FBF"/>
    <w:rsid w:val="00D37922"/>
    <w:rsid w:val="00D425D7"/>
    <w:rsid w:val="00D43824"/>
    <w:rsid w:val="00D43AD9"/>
    <w:rsid w:val="00D44CBE"/>
    <w:rsid w:val="00D44F8B"/>
    <w:rsid w:val="00D45617"/>
    <w:rsid w:val="00D456E2"/>
    <w:rsid w:val="00D45F17"/>
    <w:rsid w:val="00D5014D"/>
    <w:rsid w:val="00D510DA"/>
    <w:rsid w:val="00D52AF0"/>
    <w:rsid w:val="00D52E3B"/>
    <w:rsid w:val="00D53511"/>
    <w:rsid w:val="00D53DC6"/>
    <w:rsid w:val="00D5494A"/>
    <w:rsid w:val="00D557DF"/>
    <w:rsid w:val="00D56BB1"/>
    <w:rsid w:val="00D5785F"/>
    <w:rsid w:val="00D6096A"/>
    <w:rsid w:val="00D60B76"/>
    <w:rsid w:val="00D6111F"/>
    <w:rsid w:val="00D62B98"/>
    <w:rsid w:val="00D62CEE"/>
    <w:rsid w:val="00D6324D"/>
    <w:rsid w:val="00D64E56"/>
    <w:rsid w:val="00D6546D"/>
    <w:rsid w:val="00D65D0D"/>
    <w:rsid w:val="00D70C31"/>
    <w:rsid w:val="00D727D8"/>
    <w:rsid w:val="00D72BA6"/>
    <w:rsid w:val="00D73B08"/>
    <w:rsid w:val="00D745D1"/>
    <w:rsid w:val="00D74CBB"/>
    <w:rsid w:val="00D75E7A"/>
    <w:rsid w:val="00D760D2"/>
    <w:rsid w:val="00D80619"/>
    <w:rsid w:val="00D80E06"/>
    <w:rsid w:val="00D8104F"/>
    <w:rsid w:val="00D81E9B"/>
    <w:rsid w:val="00D81EEC"/>
    <w:rsid w:val="00D829CE"/>
    <w:rsid w:val="00D90D40"/>
    <w:rsid w:val="00D91AA0"/>
    <w:rsid w:val="00D9288B"/>
    <w:rsid w:val="00D96187"/>
    <w:rsid w:val="00D96A88"/>
    <w:rsid w:val="00D96C52"/>
    <w:rsid w:val="00D9750E"/>
    <w:rsid w:val="00DA0534"/>
    <w:rsid w:val="00DA1616"/>
    <w:rsid w:val="00DA45E9"/>
    <w:rsid w:val="00DA560D"/>
    <w:rsid w:val="00DA7789"/>
    <w:rsid w:val="00DB0571"/>
    <w:rsid w:val="00DB17ED"/>
    <w:rsid w:val="00DB2BC7"/>
    <w:rsid w:val="00DB312B"/>
    <w:rsid w:val="00DB337C"/>
    <w:rsid w:val="00DB365D"/>
    <w:rsid w:val="00DB4631"/>
    <w:rsid w:val="00DB5004"/>
    <w:rsid w:val="00DB58DC"/>
    <w:rsid w:val="00DB6102"/>
    <w:rsid w:val="00DB6D48"/>
    <w:rsid w:val="00DB7D9F"/>
    <w:rsid w:val="00DC1069"/>
    <w:rsid w:val="00DC12A4"/>
    <w:rsid w:val="00DC2E29"/>
    <w:rsid w:val="00DC50AA"/>
    <w:rsid w:val="00DC6239"/>
    <w:rsid w:val="00DC7815"/>
    <w:rsid w:val="00DD26BA"/>
    <w:rsid w:val="00DD493C"/>
    <w:rsid w:val="00DD4B67"/>
    <w:rsid w:val="00DD72E5"/>
    <w:rsid w:val="00DE0143"/>
    <w:rsid w:val="00DE0741"/>
    <w:rsid w:val="00DE1488"/>
    <w:rsid w:val="00DE18A6"/>
    <w:rsid w:val="00DE29FE"/>
    <w:rsid w:val="00DE3104"/>
    <w:rsid w:val="00DE33B3"/>
    <w:rsid w:val="00DE4A08"/>
    <w:rsid w:val="00DE653B"/>
    <w:rsid w:val="00DE763A"/>
    <w:rsid w:val="00DE7B53"/>
    <w:rsid w:val="00DF2AE1"/>
    <w:rsid w:val="00DF2B48"/>
    <w:rsid w:val="00DF2C5A"/>
    <w:rsid w:val="00DF3133"/>
    <w:rsid w:val="00DF3359"/>
    <w:rsid w:val="00DF4333"/>
    <w:rsid w:val="00DF4740"/>
    <w:rsid w:val="00DF49A8"/>
    <w:rsid w:val="00DF565A"/>
    <w:rsid w:val="00DF6347"/>
    <w:rsid w:val="00DF6A02"/>
    <w:rsid w:val="00DF7030"/>
    <w:rsid w:val="00E00C54"/>
    <w:rsid w:val="00E01EFE"/>
    <w:rsid w:val="00E0255A"/>
    <w:rsid w:val="00E0479D"/>
    <w:rsid w:val="00E04F45"/>
    <w:rsid w:val="00E05491"/>
    <w:rsid w:val="00E06598"/>
    <w:rsid w:val="00E067A6"/>
    <w:rsid w:val="00E0689A"/>
    <w:rsid w:val="00E0763B"/>
    <w:rsid w:val="00E1015E"/>
    <w:rsid w:val="00E128C3"/>
    <w:rsid w:val="00E1429A"/>
    <w:rsid w:val="00E1436A"/>
    <w:rsid w:val="00E161D2"/>
    <w:rsid w:val="00E169F4"/>
    <w:rsid w:val="00E16CF0"/>
    <w:rsid w:val="00E16F9E"/>
    <w:rsid w:val="00E1732D"/>
    <w:rsid w:val="00E20177"/>
    <w:rsid w:val="00E20BE4"/>
    <w:rsid w:val="00E228B8"/>
    <w:rsid w:val="00E237F7"/>
    <w:rsid w:val="00E30283"/>
    <w:rsid w:val="00E30389"/>
    <w:rsid w:val="00E32226"/>
    <w:rsid w:val="00E33791"/>
    <w:rsid w:val="00E3417A"/>
    <w:rsid w:val="00E3456E"/>
    <w:rsid w:val="00E348C3"/>
    <w:rsid w:val="00E34B96"/>
    <w:rsid w:val="00E3543E"/>
    <w:rsid w:val="00E36558"/>
    <w:rsid w:val="00E37B53"/>
    <w:rsid w:val="00E4240F"/>
    <w:rsid w:val="00E438B9"/>
    <w:rsid w:val="00E45F25"/>
    <w:rsid w:val="00E50C51"/>
    <w:rsid w:val="00E528F0"/>
    <w:rsid w:val="00E545E4"/>
    <w:rsid w:val="00E55810"/>
    <w:rsid w:val="00E60AA3"/>
    <w:rsid w:val="00E61A4B"/>
    <w:rsid w:val="00E61D18"/>
    <w:rsid w:val="00E61EC7"/>
    <w:rsid w:val="00E625A0"/>
    <w:rsid w:val="00E63CF3"/>
    <w:rsid w:val="00E64A75"/>
    <w:rsid w:val="00E6516A"/>
    <w:rsid w:val="00E67E9F"/>
    <w:rsid w:val="00E70EA2"/>
    <w:rsid w:val="00E715FF"/>
    <w:rsid w:val="00E72CEC"/>
    <w:rsid w:val="00E73651"/>
    <w:rsid w:val="00E73C2A"/>
    <w:rsid w:val="00E7463C"/>
    <w:rsid w:val="00E76ADB"/>
    <w:rsid w:val="00E76EC2"/>
    <w:rsid w:val="00E773C2"/>
    <w:rsid w:val="00E8015D"/>
    <w:rsid w:val="00E818B1"/>
    <w:rsid w:val="00E83653"/>
    <w:rsid w:val="00E84333"/>
    <w:rsid w:val="00E85BEA"/>
    <w:rsid w:val="00E8697F"/>
    <w:rsid w:val="00E90D5D"/>
    <w:rsid w:val="00E91E2D"/>
    <w:rsid w:val="00E92324"/>
    <w:rsid w:val="00E960AA"/>
    <w:rsid w:val="00E978BA"/>
    <w:rsid w:val="00EA0BB9"/>
    <w:rsid w:val="00EA1279"/>
    <w:rsid w:val="00EA1457"/>
    <w:rsid w:val="00EA30A6"/>
    <w:rsid w:val="00EA4E24"/>
    <w:rsid w:val="00EA69B6"/>
    <w:rsid w:val="00EB15DA"/>
    <w:rsid w:val="00EB30CD"/>
    <w:rsid w:val="00EB48A8"/>
    <w:rsid w:val="00EB549C"/>
    <w:rsid w:val="00EB560F"/>
    <w:rsid w:val="00EB5A06"/>
    <w:rsid w:val="00EB5E4C"/>
    <w:rsid w:val="00EB5E79"/>
    <w:rsid w:val="00EB7EE7"/>
    <w:rsid w:val="00EC01A9"/>
    <w:rsid w:val="00EC16F0"/>
    <w:rsid w:val="00EC30CC"/>
    <w:rsid w:val="00EC322F"/>
    <w:rsid w:val="00EC3688"/>
    <w:rsid w:val="00EC5055"/>
    <w:rsid w:val="00EC604A"/>
    <w:rsid w:val="00EC7E71"/>
    <w:rsid w:val="00EC7E7C"/>
    <w:rsid w:val="00ED03A9"/>
    <w:rsid w:val="00ED21E7"/>
    <w:rsid w:val="00ED3481"/>
    <w:rsid w:val="00ED3B16"/>
    <w:rsid w:val="00ED54B4"/>
    <w:rsid w:val="00ED646E"/>
    <w:rsid w:val="00ED741E"/>
    <w:rsid w:val="00EE0A88"/>
    <w:rsid w:val="00EE0AB3"/>
    <w:rsid w:val="00EE229A"/>
    <w:rsid w:val="00EE22CD"/>
    <w:rsid w:val="00EE2311"/>
    <w:rsid w:val="00EE27EF"/>
    <w:rsid w:val="00EE27FE"/>
    <w:rsid w:val="00EE33D7"/>
    <w:rsid w:val="00EE5631"/>
    <w:rsid w:val="00EE775F"/>
    <w:rsid w:val="00EF0FFC"/>
    <w:rsid w:val="00EF3AB7"/>
    <w:rsid w:val="00EF422C"/>
    <w:rsid w:val="00EF6038"/>
    <w:rsid w:val="00EF7B03"/>
    <w:rsid w:val="00F00C2C"/>
    <w:rsid w:val="00F0504C"/>
    <w:rsid w:val="00F052B7"/>
    <w:rsid w:val="00F05F13"/>
    <w:rsid w:val="00F0663F"/>
    <w:rsid w:val="00F06AFA"/>
    <w:rsid w:val="00F07504"/>
    <w:rsid w:val="00F07567"/>
    <w:rsid w:val="00F102B6"/>
    <w:rsid w:val="00F10354"/>
    <w:rsid w:val="00F1233D"/>
    <w:rsid w:val="00F1443D"/>
    <w:rsid w:val="00F163C8"/>
    <w:rsid w:val="00F16737"/>
    <w:rsid w:val="00F16D78"/>
    <w:rsid w:val="00F16D7B"/>
    <w:rsid w:val="00F17B2E"/>
    <w:rsid w:val="00F215D2"/>
    <w:rsid w:val="00F2262D"/>
    <w:rsid w:val="00F23A39"/>
    <w:rsid w:val="00F2442C"/>
    <w:rsid w:val="00F27207"/>
    <w:rsid w:val="00F273D5"/>
    <w:rsid w:val="00F30817"/>
    <w:rsid w:val="00F3188B"/>
    <w:rsid w:val="00F32638"/>
    <w:rsid w:val="00F32D1C"/>
    <w:rsid w:val="00F3455D"/>
    <w:rsid w:val="00F346A3"/>
    <w:rsid w:val="00F3726C"/>
    <w:rsid w:val="00F37A02"/>
    <w:rsid w:val="00F37CAD"/>
    <w:rsid w:val="00F40B5B"/>
    <w:rsid w:val="00F417CB"/>
    <w:rsid w:val="00F427FC"/>
    <w:rsid w:val="00F42B59"/>
    <w:rsid w:val="00F43A80"/>
    <w:rsid w:val="00F449FC"/>
    <w:rsid w:val="00F44D3B"/>
    <w:rsid w:val="00F44EC5"/>
    <w:rsid w:val="00F4545E"/>
    <w:rsid w:val="00F511FC"/>
    <w:rsid w:val="00F513DD"/>
    <w:rsid w:val="00F5262B"/>
    <w:rsid w:val="00F53566"/>
    <w:rsid w:val="00F54532"/>
    <w:rsid w:val="00F5458A"/>
    <w:rsid w:val="00F54B0F"/>
    <w:rsid w:val="00F54CE3"/>
    <w:rsid w:val="00F57A92"/>
    <w:rsid w:val="00F6189B"/>
    <w:rsid w:val="00F61E09"/>
    <w:rsid w:val="00F62B8C"/>
    <w:rsid w:val="00F63C70"/>
    <w:rsid w:val="00F64913"/>
    <w:rsid w:val="00F702DD"/>
    <w:rsid w:val="00F70798"/>
    <w:rsid w:val="00F71E92"/>
    <w:rsid w:val="00F720E1"/>
    <w:rsid w:val="00F731DB"/>
    <w:rsid w:val="00F766B1"/>
    <w:rsid w:val="00F767DF"/>
    <w:rsid w:val="00F76C94"/>
    <w:rsid w:val="00F84219"/>
    <w:rsid w:val="00F8506F"/>
    <w:rsid w:val="00F864AC"/>
    <w:rsid w:val="00F866A8"/>
    <w:rsid w:val="00F87C0B"/>
    <w:rsid w:val="00F90907"/>
    <w:rsid w:val="00F9134E"/>
    <w:rsid w:val="00F91F7A"/>
    <w:rsid w:val="00F93496"/>
    <w:rsid w:val="00F938B4"/>
    <w:rsid w:val="00F94C14"/>
    <w:rsid w:val="00F97F83"/>
    <w:rsid w:val="00FA0183"/>
    <w:rsid w:val="00FA0B4E"/>
    <w:rsid w:val="00FA14C0"/>
    <w:rsid w:val="00FA41B4"/>
    <w:rsid w:val="00FA5F16"/>
    <w:rsid w:val="00FA5FF4"/>
    <w:rsid w:val="00FB111E"/>
    <w:rsid w:val="00FB22FF"/>
    <w:rsid w:val="00FB2AAB"/>
    <w:rsid w:val="00FB32C2"/>
    <w:rsid w:val="00FB42C6"/>
    <w:rsid w:val="00FB4E9C"/>
    <w:rsid w:val="00FB511F"/>
    <w:rsid w:val="00FB5B3F"/>
    <w:rsid w:val="00FB7358"/>
    <w:rsid w:val="00FB7F02"/>
    <w:rsid w:val="00FC00C7"/>
    <w:rsid w:val="00FC0838"/>
    <w:rsid w:val="00FC0D20"/>
    <w:rsid w:val="00FC1680"/>
    <w:rsid w:val="00FC22A6"/>
    <w:rsid w:val="00FC25F2"/>
    <w:rsid w:val="00FC3C97"/>
    <w:rsid w:val="00FC501C"/>
    <w:rsid w:val="00FC592D"/>
    <w:rsid w:val="00FC5C76"/>
    <w:rsid w:val="00FC61B0"/>
    <w:rsid w:val="00FC64D8"/>
    <w:rsid w:val="00FC7955"/>
    <w:rsid w:val="00FD0577"/>
    <w:rsid w:val="00FD09CF"/>
    <w:rsid w:val="00FD108E"/>
    <w:rsid w:val="00FD183D"/>
    <w:rsid w:val="00FD196D"/>
    <w:rsid w:val="00FD1A75"/>
    <w:rsid w:val="00FD1D94"/>
    <w:rsid w:val="00FD2E07"/>
    <w:rsid w:val="00FD3CE3"/>
    <w:rsid w:val="00FD50CA"/>
    <w:rsid w:val="00FD510C"/>
    <w:rsid w:val="00FD6A18"/>
    <w:rsid w:val="00FD7BE9"/>
    <w:rsid w:val="00FE005E"/>
    <w:rsid w:val="00FE07A4"/>
    <w:rsid w:val="00FE109A"/>
    <w:rsid w:val="00FE1755"/>
    <w:rsid w:val="00FE1B91"/>
    <w:rsid w:val="00FE29BE"/>
    <w:rsid w:val="00FE2B7D"/>
    <w:rsid w:val="00FE4A78"/>
    <w:rsid w:val="00FE6B12"/>
    <w:rsid w:val="00FE780D"/>
    <w:rsid w:val="00FE7D09"/>
    <w:rsid w:val="00FF08D7"/>
    <w:rsid w:val="00FF0B15"/>
    <w:rsid w:val="00FF14F7"/>
    <w:rsid w:val="00FF2ED8"/>
    <w:rsid w:val="00FF2FB1"/>
    <w:rsid w:val="00FF3D72"/>
    <w:rsid w:val="00FF424C"/>
    <w:rsid w:val="00FF442F"/>
    <w:rsid w:val="00FF4DE0"/>
    <w:rsid w:val="00FF64F2"/>
    <w:rsid w:val="00FF71E4"/>
    <w:rsid w:val="00FF748B"/>
    <w:rsid w:val="01303B47"/>
    <w:rsid w:val="04E20C3D"/>
    <w:rsid w:val="05BA27F1"/>
    <w:rsid w:val="071F14C9"/>
    <w:rsid w:val="07EC6E99"/>
    <w:rsid w:val="093822DE"/>
    <w:rsid w:val="0C2E6075"/>
    <w:rsid w:val="0ECC7E2A"/>
    <w:rsid w:val="12D341E7"/>
    <w:rsid w:val="1407025D"/>
    <w:rsid w:val="16082FC8"/>
    <w:rsid w:val="187422FF"/>
    <w:rsid w:val="1A9D04E8"/>
    <w:rsid w:val="1EC52373"/>
    <w:rsid w:val="1FC06BDC"/>
    <w:rsid w:val="213B20EF"/>
    <w:rsid w:val="220579F2"/>
    <w:rsid w:val="22A3596A"/>
    <w:rsid w:val="22D15848"/>
    <w:rsid w:val="231373EE"/>
    <w:rsid w:val="23467F93"/>
    <w:rsid w:val="247F2683"/>
    <w:rsid w:val="2B4E0BF9"/>
    <w:rsid w:val="2D2B3379"/>
    <w:rsid w:val="2F9D148B"/>
    <w:rsid w:val="313E7249"/>
    <w:rsid w:val="31D110D7"/>
    <w:rsid w:val="32D774EE"/>
    <w:rsid w:val="33A1690D"/>
    <w:rsid w:val="366F2115"/>
    <w:rsid w:val="39AB1918"/>
    <w:rsid w:val="39E33F08"/>
    <w:rsid w:val="3BEC25D8"/>
    <w:rsid w:val="3CFB538B"/>
    <w:rsid w:val="3D0D1B08"/>
    <w:rsid w:val="3D376B4D"/>
    <w:rsid w:val="3E011E2A"/>
    <w:rsid w:val="3F107DDA"/>
    <w:rsid w:val="3F114C75"/>
    <w:rsid w:val="41375915"/>
    <w:rsid w:val="448A5FE5"/>
    <w:rsid w:val="4869668F"/>
    <w:rsid w:val="4A9D3DBA"/>
    <w:rsid w:val="4E3D4A5A"/>
    <w:rsid w:val="50087487"/>
    <w:rsid w:val="52AE460E"/>
    <w:rsid w:val="57004264"/>
    <w:rsid w:val="5902616D"/>
    <w:rsid w:val="59665F87"/>
    <w:rsid w:val="5CE041BA"/>
    <w:rsid w:val="60B0555F"/>
    <w:rsid w:val="60DE5601"/>
    <w:rsid w:val="61FF61EB"/>
    <w:rsid w:val="633F1CD6"/>
    <w:rsid w:val="6803292B"/>
    <w:rsid w:val="68BC3938"/>
    <w:rsid w:val="6BF40694"/>
    <w:rsid w:val="6DD53935"/>
    <w:rsid w:val="6E1308DC"/>
    <w:rsid w:val="70712FB9"/>
    <w:rsid w:val="71AF0D76"/>
    <w:rsid w:val="725D0196"/>
    <w:rsid w:val="72A03025"/>
    <w:rsid w:val="733E4E79"/>
    <w:rsid w:val="734E421C"/>
    <w:rsid w:val="73F04332"/>
    <w:rsid w:val="7593452A"/>
    <w:rsid w:val="75A629FF"/>
    <w:rsid w:val="76DC57D3"/>
    <w:rsid w:val="77C117DA"/>
    <w:rsid w:val="79CA1C13"/>
    <w:rsid w:val="7A5D3D3C"/>
    <w:rsid w:val="7CD27E8E"/>
    <w:rsid w:val="7D2A2E68"/>
    <w:rsid w:val="7D2E2162"/>
    <w:rsid w:val="7D9864D6"/>
    <w:rsid w:val="7F11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52"/>
    <w:qFormat/>
    <w:uiPriority w:val="0"/>
    <w:pPr>
      <w:keepNext/>
      <w:outlineLvl w:val="3"/>
    </w:pPr>
    <w:rPr>
      <w:sz w:val="28"/>
      <w:szCs w:val="20"/>
    </w:rPr>
  </w:style>
  <w:style w:type="paragraph" w:styleId="7">
    <w:name w:val="heading 5"/>
    <w:basedOn w:val="1"/>
    <w:next w:val="1"/>
    <w:link w:val="53"/>
    <w:qFormat/>
    <w:uiPriority w:val="0"/>
    <w:pPr>
      <w:keepNext/>
      <w:keepLines/>
      <w:spacing w:before="280" w:after="290" w:line="376" w:lineRule="auto"/>
      <w:outlineLvl w:val="4"/>
    </w:pPr>
    <w:rPr>
      <w:b/>
      <w:bCs/>
      <w:sz w:val="28"/>
      <w:szCs w:val="28"/>
    </w:rPr>
  </w:style>
  <w:style w:type="paragraph" w:styleId="8">
    <w:name w:val="heading 6"/>
    <w:basedOn w:val="1"/>
    <w:next w:val="1"/>
    <w:link w:val="54"/>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55"/>
    <w:qFormat/>
    <w:uiPriority w:val="0"/>
    <w:pPr>
      <w:keepNext/>
      <w:keepLines/>
      <w:spacing w:before="240" w:after="64" w:line="320" w:lineRule="auto"/>
      <w:outlineLvl w:val="6"/>
    </w:pPr>
    <w:rPr>
      <w:b/>
      <w:bCs/>
      <w:sz w:val="24"/>
    </w:rPr>
  </w:style>
  <w:style w:type="paragraph" w:styleId="10">
    <w:name w:val="heading 8"/>
    <w:basedOn w:val="1"/>
    <w:next w:val="1"/>
    <w:link w:val="56"/>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7"/>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62"/>
    <w:semiHidden/>
    <w:qFormat/>
    <w:uiPriority w:val="0"/>
    <w:rPr>
      <w:rFonts w:ascii="宋体"/>
      <w:sz w:val="18"/>
      <w:szCs w:val="18"/>
    </w:rPr>
  </w:style>
  <w:style w:type="paragraph" w:styleId="14">
    <w:name w:val="annotation text"/>
    <w:basedOn w:val="1"/>
    <w:link w:val="60"/>
    <w:unhideWhenUsed/>
    <w:qFormat/>
    <w:uiPriority w:val="0"/>
    <w:pPr>
      <w:jc w:val="left"/>
    </w:pPr>
  </w:style>
  <w:style w:type="paragraph" w:styleId="15">
    <w:name w:val="Body Text 3"/>
    <w:basedOn w:val="1"/>
    <w:link w:val="86"/>
    <w:semiHidden/>
    <w:unhideWhenUsed/>
    <w:qFormat/>
    <w:uiPriority w:val="99"/>
    <w:pPr>
      <w:spacing w:after="120"/>
    </w:pPr>
    <w:rPr>
      <w:sz w:val="16"/>
      <w:szCs w:val="16"/>
    </w:rPr>
  </w:style>
  <w:style w:type="paragraph" w:styleId="16">
    <w:name w:val="Body Text"/>
    <w:basedOn w:val="1"/>
    <w:next w:val="1"/>
    <w:link w:val="63"/>
    <w:qFormat/>
    <w:uiPriority w:val="0"/>
    <w:rPr>
      <w:sz w:val="28"/>
      <w:szCs w:val="20"/>
    </w:rPr>
  </w:style>
  <w:style w:type="paragraph" w:styleId="17">
    <w:name w:val="Body Text Indent"/>
    <w:basedOn w:val="1"/>
    <w:link w:val="6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5"/>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6"/>
    <w:qFormat/>
    <w:uiPriority w:val="0"/>
    <w:pPr>
      <w:ind w:left="100" w:leftChars="2500"/>
    </w:pPr>
    <w:rPr>
      <w:szCs w:val="20"/>
    </w:rPr>
  </w:style>
  <w:style w:type="paragraph" w:styleId="24">
    <w:name w:val="Body Text Indent 2"/>
    <w:basedOn w:val="1"/>
    <w:link w:val="67"/>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48"/>
    <w:semiHidden/>
    <w:unhideWhenUsed/>
    <w:qFormat/>
    <w:uiPriority w:val="0"/>
    <w:rPr>
      <w:sz w:val="18"/>
      <w:szCs w:val="18"/>
    </w:rPr>
  </w:style>
  <w:style w:type="paragraph" w:styleId="26">
    <w:name w:val="footer"/>
    <w:basedOn w:val="1"/>
    <w:link w:val="59"/>
    <w:unhideWhenUsed/>
    <w:qFormat/>
    <w:uiPriority w:val="0"/>
    <w:pPr>
      <w:tabs>
        <w:tab w:val="center" w:pos="4153"/>
        <w:tab w:val="right" w:pos="8306"/>
      </w:tabs>
      <w:snapToGrid w:val="0"/>
      <w:jc w:val="left"/>
    </w:pPr>
    <w:rPr>
      <w:sz w:val="18"/>
      <w:szCs w:val="18"/>
    </w:rPr>
  </w:style>
  <w:style w:type="paragraph" w:styleId="27">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8"/>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9"/>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Title"/>
    <w:basedOn w:val="1"/>
    <w:next w:val="1"/>
    <w:link w:val="70"/>
    <w:qFormat/>
    <w:uiPriority w:val="10"/>
    <w:pPr>
      <w:spacing w:before="240" w:after="60"/>
      <w:jc w:val="center"/>
      <w:outlineLvl w:val="0"/>
    </w:pPr>
    <w:rPr>
      <w:rFonts w:ascii="Cambria" w:hAnsi="Cambria"/>
      <w:b/>
      <w:bCs/>
      <w:sz w:val="32"/>
      <w:szCs w:val="32"/>
    </w:rPr>
  </w:style>
  <w:style w:type="paragraph" w:styleId="36">
    <w:name w:val="annotation subject"/>
    <w:basedOn w:val="14"/>
    <w:next w:val="14"/>
    <w:link w:val="61"/>
    <w:semiHidden/>
    <w:qFormat/>
    <w:uiPriority w:val="0"/>
    <w:rPr>
      <w:b/>
      <w:bCs/>
      <w:szCs w:val="20"/>
    </w:rPr>
  </w:style>
  <w:style w:type="paragraph" w:styleId="37">
    <w:name w:val="Body Text First Indent 2"/>
    <w:basedOn w:val="17"/>
    <w:qFormat/>
    <w:uiPriority w:val="0"/>
    <w:pPr>
      <w:spacing w:line="240" w:lineRule="auto"/>
      <w:ind w:left="420" w:leftChars="200" w:firstLine="420" w:firstLineChars="200"/>
    </w:pPr>
    <w:rPr>
      <w:rFonts w:ascii="Times New Roman" w:eastAsia="宋体"/>
    </w:rPr>
  </w:style>
  <w:style w:type="table" w:styleId="39">
    <w:name w:val="Table Grid"/>
    <w:basedOn w:val="3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paragraph" w:customStyle="1" w:styleId="45">
    <w:name w:val="bt1bt1"/>
    <w:basedOn w:val="2"/>
    <w:qFormat/>
    <w:uiPriority w:val="0"/>
    <w:pPr>
      <w:spacing w:line="240" w:lineRule="auto"/>
      <w:jc w:val="center"/>
    </w:pPr>
    <w:rPr>
      <w:rFonts w:ascii="黑体" w:eastAsia="黑体"/>
      <w:b w:val="0"/>
      <w:sz w:val="36"/>
      <w:szCs w:val="36"/>
    </w:rPr>
  </w:style>
  <w:style w:type="paragraph" w:styleId="46">
    <w:name w:val="List Paragraph"/>
    <w:basedOn w:val="1"/>
    <w:link w:val="91"/>
    <w:unhideWhenUsed/>
    <w:qFormat/>
    <w:uiPriority w:val="34"/>
    <w:pPr>
      <w:ind w:firstLine="420" w:firstLineChars="200"/>
    </w:pPr>
  </w:style>
  <w:style w:type="character" w:customStyle="1" w:styleId="47">
    <w:name w:val="标题 1 字符"/>
    <w:basedOn w:val="40"/>
    <w:link w:val="2"/>
    <w:qFormat/>
    <w:uiPriority w:val="0"/>
    <w:rPr>
      <w:rFonts w:ascii="Times New Roman" w:hAnsi="Times New Roman" w:eastAsia="宋体" w:cs="Times New Roman"/>
      <w:b/>
      <w:bCs/>
      <w:kern w:val="44"/>
      <w:sz w:val="44"/>
      <w:szCs w:val="44"/>
    </w:rPr>
  </w:style>
  <w:style w:type="character" w:customStyle="1" w:styleId="48">
    <w:name w:val="批注框文本 字符"/>
    <w:basedOn w:val="40"/>
    <w:link w:val="25"/>
    <w:semiHidden/>
    <w:qFormat/>
    <w:uiPriority w:val="0"/>
    <w:rPr>
      <w:rFonts w:ascii="Times New Roman" w:hAnsi="Times New Roman" w:eastAsia="宋体" w:cs="Times New Roman"/>
      <w:sz w:val="18"/>
      <w:szCs w:val="18"/>
    </w:rPr>
  </w:style>
  <w:style w:type="paragraph" w:customStyle="1" w:styleId="49">
    <w:name w:val="TOC 标题1"/>
    <w:basedOn w:val="2"/>
    <w:next w:val="1"/>
    <w:unhideWhenUsed/>
    <w:qFormat/>
    <w:uiPriority w:val="0"/>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2 字符"/>
    <w:basedOn w:val="40"/>
    <w:link w:val="3"/>
    <w:qFormat/>
    <w:uiPriority w:val="9"/>
    <w:rPr>
      <w:rFonts w:ascii="Arial" w:hAnsi="Arial" w:eastAsia="黑体" w:cs="Times New Roman"/>
      <w:b/>
      <w:bCs/>
      <w:sz w:val="32"/>
      <w:szCs w:val="32"/>
    </w:rPr>
  </w:style>
  <w:style w:type="character" w:customStyle="1" w:styleId="51">
    <w:name w:val="标题 3 字符"/>
    <w:basedOn w:val="40"/>
    <w:link w:val="4"/>
    <w:qFormat/>
    <w:uiPriority w:val="0"/>
    <w:rPr>
      <w:rFonts w:ascii="黑体" w:hAnsi="Times New Roman" w:eastAsia="黑体" w:cs="Times New Roman"/>
      <w:kern w:val="0"/>
      <w:sz w:val="28"/>
      <w:szCs w:val="20"/>
    </w:rPr>
  </w:style>
  <w:style w:type="character" w:customStyle="1" w:styleId="52">
    <w:name w:val="标题 4 字符"/>
    <w:basedOn w:val="40"/>
    <w:link w:val="6"/>
    <w:qFormat/>
    <w:uiPriority w:val="0"/>
    <w:rPr>
      <w:rFonts w:ascii="Times New Roman" w:hAnsi="Times New Roman" w:eastAsia="宋体" w:cs="Times New Roman"/>
      <w:sz w:val="28"/>
      <w:szCs w:val="20"/>
    </w:rPr>
  </w:style>
  <w:style w:type="character" w:customStyle="1" w:styleId="53">
    <w:name w:val="标题 5 字符"/>
    <w:basedOn w:val="40"/>
    <w:link w:val="7"/>
    <w:qFormat/>
    <w:uiPriority w:val="0"/>
    <w:rPr>
      <w:rFonts w:ascii="Times New Roman" w:hAnsi="Times New Roman" w:eastAsia="宋体" w:cs="Times New Roman"/>
      <w:b/>
      <w:bCs/>
      <w:sz w:val="28"/>
      <w:szCs w:val="28"/>
    </w:rPr>
  </w:style>
  <w:style w:type="character" w:customStyle="1" w:styleId="54">
    <w:name w:val="标题 6 字符"/>
    <w:basedOn w:val="40"/>
    <w:link w:val="8"/>
    <w:qFormat/>
    <w:uiPriority w:val="0"/>
    <w:rPr>
      <w:rFonts w:ascii="Arial" w:hAnsi="Arial" w:eastAsia="黑体" w:cs="Times New Roman"/>
      <w:b/>
      <w:bCs/>
      <w:sz w:val="24"/>
      <w:szCs w:val="24"/>
    </w:rPr>
  </w:style>
  <w:style w:type="character" w:customStyle="1" w:styleId="55">
    <w:name w:val="标题 7 字符"/>
    <w:basedOn w:val="40"/>
    <w:link w:val="9"/>
    <w:qFormat/>
    <w:uiPriority w:val="0"/>
    <w:rPr>
      <w:rFonts w:ascii="Times New Roman" w:hAnsi="Times New Roman" w:eastAsia="宋体" w:cs="Times New Roman"/>
      <w:b/>
      <w:bCs/>
      <w:sz w:val="24"/>
      <w:szCs w:val="24"/>
    </w:rPr>
  </w:style>
  <w:style w:type="character" w:customStyle="1" w:styleId="56">
    <w:name w:val="标题 8 字符"/>
    <w:basedOn w:val="40"/>
    <w:link w:val="10"/>
    <w:qFormat/>
    <w:uiPriority w:val="0"/>
    <w:rPr>
      <w:rFonts w:ascii="Arial" w:hAnsi="Arial" w:eastAsia="黑体" w:cs="Times New Roman"/>
      <w:sz w:val="24"/>
      <w:szCs w:val="24"/>
    </w:rPr>
  </w:style>
  <w:style w:type="character" w:customStyle="1" w:styleId="57">
    <w:name w:val="标题 9 字符"/>
    <w:basedOn w:val="40"/>
    <w:link w:val="11"/>
    <w:qFormat/>
    <w:uiPriority w:val="0"/>
    <w:rPr>
      <w:rFonts w:ascii="Arial" w:hAnsi="Arial" w:eastAsia="黑体" w:cs="Times New Roman"/>
      <w:szCs w:val="21"/>
    </w:rPr>
  </w:style>
  <w:style w:type="character" w:customStyle="1" w:styleId="58">
    <w:name w:val="页眉 字符"/>
    <w:basedOn w:val="40"/>
    <w:link w:val="27"/>
    <w:qFormat/>
    <w:uiPriority w:val="99"/>
    <w:rPr>
      <w:rFonts w:ascii="Times New Roman" w:hAnsi="Times New Roman" w:eastAsia="宋体" w:cs="Times New Roman"/>
      <w:sz w:val="18"/>
      <w:szCs w:val="18"/>
    </w:rPr>
  </w:style>
  <w:style w:type="character" w:customStyle="1" w:styleId="59">
    <w:name w:val="页脚 字符"/>
    <w:basedOn w:val="40"/>
    <w:link w:val="26"/>
    <w:qFormat/>
    <w:uiPriority w:val="99"/>
    <w:rPr>
      <w:rFonts w:ascii="Times New Roman" w:hAnsi="Times New Roman" w:eastAsia="宋体" w:cs="Times New Roman"/>
      <w:sz w:val="18"/>
      <w:szCs w:val="18"/>
    </w:rPr>
  </w:style>
  <w:style w:type="character" w:customStyle="1" w:styleId="60">
    <w:name w:val="批注文字 字符"/>
    <w:basedOn w:val="40"/>
    <w:link w:val="14"/>
    <w:qFormat/>
    <w:uiPriority w:val="0"/>
    <w:rPr>
      <w:rFonts w:ascii="Times New Roman" w:hAnsi="Times New Roman" w:eastAsia="宋体" w:cs="Times New Roman"/>
      <w:szCs w:val="24"/>
    </w:rPr>
  </w:style>
  <w:style w:type="character" w:customStyle="1" w:styleId="61">
    <w:name w:val="批注主题 字符"/>
    <w:basedOn w:val="60"/>
    <w:link w:val="36"/>
    <w:semiHidden/>
    <w:qFormat/>
    <w:uiPriority w:val="0"/>
    <w:rPr>
      <w:rFonts w:ascii="Times New Roman" w:hAnsi="Times New Roman" w:eastAsia="宋体" w:cs="Times New Roman"/>
      <w:b/>
      <w:bCs/>
      <w:szCs w:val="20"/>
    </w:rPr>
  </w:style>
  <w:style w:type="character" w:customStyle="1" w:styleId="62">
    <w:name w:val="文档结构图 字符"/>
    <w:basedOn w:val="40"/>
    <w:link w:val="13"/>
    <w:semiHidden/>
    <w:qFormat/>
    <w:uiPriority w:val="0"/>
    <w:rPr>
      <w:rFonts w:ascii="宋体" w:hAnsi="Times New Roman" w:eastAsia="宋体" w:cs="Times New Roman"/>
      <w:sz w:val="18"/>
      <w:szCs w:val="18"/>
    </w:rPr>
  </w:style>
  <w:style w:type="character" w:customStyle="1" w:styleId="63">
    <w:name w:val="正文文本 字符"/>
    <w:basedOn w:val="40"/>
    <w:link w:val="16"/>
    <w:qFormat/>
    <w:uiPriority w:val="0"/>
    <w:rPr>
      <w:rFonts w:ascii="Times New Roman" w:hAnsi="Times New Roman" w:eastAsia="宋体" w:cs="Times New Roman"/>
      <w:sz w:val="28"/>
      <w:szCs w:val="20"/>
    </w:rPr>
  </w:style>
  <w:style w:type="character" w:customStyle="1" w:styleId="64">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5">
    <w:name w:val="纯文本 字符"/>
    <w:basedOn w:val="40"/>
    <w:link w:val="21"/>
    <w:qFormat/>
    <w:uiPriority w:val="0"/>
    <w:rPr>
      <w:rFonts w:ascii="宋体" w:hAnsi="Courier New" w:eastAsia="宋体" w:cs="Times New Roman"/>
      <w:szCs w:val="20"/>
    </w:rPr>
  </w:style>
  <w:style w:type="character" w:customStyle="1" w:styleId="66">
    <w:name w:val="日期 字符"/>
    <w:basedOn w:val="40"/>
    <w:link w:val="23"/>
    <w:qFormat/>
    <w:uiPriority w:val="0"/>
    <w:rPr>
      <w:rFonts w:ascii="Times New Roman" w:hAnsi="Times New Roman" w:eastAsia="宋体" w:cs="Times New Roman"/>
      <w:szCs w:val="20"/>
    </w:rPr>
  </w:style>
  <w:style w:type="character" w:customStyle="1" w:styleId="67">
    <w:name w:val="正文文本缩进 2 字符"/>
    <w:basedOn w:val="40"/>
    <w:link w:val="24"/>
    <w:qFormat/>
    <w:uiPriority w:val="0"/>
    <w:rPr>
      <w:rFonts w:ascii="仿宋_GB2312" w:hAnsi="宋体" w:eastAsia="仿宋_GB2312" w:cs="Times New Roman"/>
      <w:sz w:val="24"/>
      <w:szCs w:val="24"/>
    </w:rPr>
  </w:style>
  <w:style w:type="character" w:customStyle="1" w:styleId="68">
    <w:name w:val="副标题 字符"/>
    <w:basedOn w:val="40"/>
    <w:link w:val="30"/>
    <w:qFormat/>
    <w:uiPriority w:val="0"/>
    <w:rPr>
      <w:rFonts w:ascii="Cambria" w:hAnsi="Cambria" w:eastAsia="宋体" w:cs="黑体"/>
      <w:b/>
      <w:bCs/>
      <w:kern w:val="28"/>
      <w:sz w:val="32"/>
      <w:szCs w:val="32"/>
    </w:rPr>
  </w:style>
  <w:style w:type="character" w:customStyle="1" w:styleId="69">
    <w:name w:val="正文文本缩进 3 字符"/>
    <w:basedOn w:val="40"/>
    <w:link w:val="32"/>
    <w:qFormat/>
    <w:uiPriority w:val="0"/>
    <w:rPr>
      <w:rFonts w:ascii="Times New Roman" w:hAnsi="Times New Roman" w:eastAsia="宋体" w:cs="Times New Roman"/>
      <w:sz w:val="24"/>
      <w:szCs w:val="20"/>
    </w:rPr>
  </w:style>
  <w:style w:type="character" w:customStyle="1" w:styleId="70">
    <w:name w:val="标题 字符"/>
    <w:basedOn w:val="40"/>
    <w:link w:val="35"/>
    <w:qFormat/>
    <w:uiPriority w:val="10"/>
    <w:rPr>
      <w:rFonts w:ascii="Cambria" w:hAnsi="Cambria" w:eastAsia="宋体" w:cs="Times New Roman"/>
      <w:b/>
      <w:bCs/>
      <w:sz w:val="32"/>
      <w:szCs w:val="32"/>
    </w:rPr>
  </w:style>
  <w:style w:type="paragraph" w:customStyle="1" w:styleId="71">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2">
    <w:name w:val="_Style 36"/>
    <w:basedOn w:val="1"/>
    <w:qFormat/>
    <w:uiPriority w:val="34"/>
    <w:pPr>
      <w:ind w:firstLine="420" w:firstLineChars="200"/>
    </w:pPr>
    <w:rPr>
      <w:szCs w:val="20"/>
    </w:rPr>
  </w:style>
  <w:style w:type="paragraph" w:customStyle="1" w:styleId="73">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6">
    <w:name w:val="新定义正文"/>
    <w:basedOn w:val="1"/>
    <w:qFormat/>
    <w:uiPriority w:val="0"/>
    <w:pPr>
      <w:widowControl/>
    </w:pPr>
    <w:rPr>
      <w:color w:val="000000"/>
      <w:szCs w:val="21"/>
    </w:rPr>
  </w:style>
  <w:style w:type="paragraph" w:customStyle="1" w:styleId="77">
    <w:name w:val="节"/>
    <w:basedOn w:val="3"/>
    <w:link w:val="90"/>
    <w:qFormat/>
    <w:uiPriority w:val="0"/>
    <w:pPr>
      <w:numPr>
        <w:ilvl w:val="1"/>
        <w:numId w:val="1"/>
      </w:numPr>
      <w:tabs>
        <w:tab w:val="left" w:pos="432"/>
      </w:tabs>
      <w:spacing w:line="240" w:lineRule="auto"/>
    </w:pPr>
    <w:rPr>
      <w:rFonts w:ascii="黑体"/>
      <w:b w:val="0"/>
      <w:sz w:val="28"/>
      <w:szCs w:val="28"/>
    </w:rPr>
  </w:style>
  <w:style w:type="paragraph" w:customStyle="1" w:styleId="78">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79">
    <w:name w:val="列出段落1"/>
    <w:basedOn w:val="1"/>
    <w:qFormat/>
    <w:uiPriority w:val="34"/>
    <w:pPr>
      <w:ind w:firstLine="420" w:firstLineChars="200"/>
    </w:pPr>
    <w:rPr>
      <w:szCs w:val="20"/>
    </w:rPr>
  </w:style>
  <w:style w:type="paragraph" w:customStyle="1" w:styleId="8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1">
    <w:name w:val="Char Char1"/>
    <w:qFormat/>
    <w:uiPriority w:val="0"/>
    <w:rPr>
      <w:rFonts w:ascii="楷体_GB2312" w:eastAsia="楷体_GB2312"/>
      <w:sz w:val="28"/>
    </w:rPr>
  </w:style>
  <w:style w:type="character" w:customStyle="1" w:styleId="82">
    <w:name w:val="Char Char"/>
    <w:qFormat/>
    <w:uiPriority w:val="0"/>
    <w:rPr>
      <w:rFonts w:ascii="宋体"/>
      <w:kern w:val="2"/>
      <w:sz w:val="18"/>
      <w:szCs w:val="18"/>
    </w:rPr>
  </w:style>
  <w:style w:type="paragraph" w:customStyle="1" w:styleId="8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样式 标题 3 + (中文) 黑体 小四 非加粗 段前: 7.8 磅 段后: 0 磅 行距: 固定值 20 磅"/>
    <w:basedOn w:val="4"/>
    <w:qFormat/>
    <w:uiPriority w:val="0"/>
    <w:pPr>
      <w:autoSpaceDE/>
      <w:autoSpaceDN/>
      <w:adjustRightInd/>
      <w:spacing w:before="0" w:after="0" w:line="400" w:lineRule="exact"/>
    </w:pPr>
    <w:rPr>
      <w:rFonts w:ascii="Times New Roman" w:cs="宋体"/>
      <w:kern w:val="2"/>
      <w:sz w:val="24"/>
    </w:rPr>
  </w:style>
  <w:style w:type="character" w:customStyle="1" w:styleId="85">
    <w:name w:val="批注文字 Char1"/>
    <w:qFormat/>
    <w:uiPriority w:val="99"/>
    <w:rPr>
      <w:kern w:val="2"/>
      <w:sz w:val="21"/>
    </w:rPr>
  </w:style>
  <w:style w:type="character" w:customStyle="1" w:styleId="86">
    <w:name w:val="正文文本 3 字符"/>
    <w:basedOn w:val="40"/>
    <w:link w:val="15"/>
    <w:semiHidden/>
    <w:qFormat/>
    <w:uiPriority w:val="99"/>
    <w:rPr>
      <w:rFonts w:ascii="Times New Roman" w:hAnsi="Times New Roman" w:eastAsia="宋体" w:cs="Times New Roman"/>
      <w:sz w:val="16"/>
      <w:szCs w:val="16"/>
    </w:rPr>
  </w:style>
  <w:style w:type="paragraph" w:customStyle="1" w:styleId="8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8">
    <w:name w:val="正文00"/>
    <w:basedOn w:val="1"/>
    <w:qFormat/>
    <w:uiPriority w:val="0"/>
    <w:pPr>
      <w:topLinePunct/>
      <w:spacing w:line="360" w:lineRule="auto"/>
      <w:ind w:firstLine="200" w:firstLineChars="200"/>
    </w:pPr>
    <w:rPr>
      <w:sz w:val="24"/>
      <w:szCs w:val="21"/>
    </w:rPr>
  </w:style>
  <w:style w:type="paragraph" w:customStyle="1" w:styleId="89">
    <w:name w:val="注"/>
    <w:basedOn w:val="1"/>
    <w:qFormat/>
    <w:uiPriority w:val="0"/>
    <w:pPr>
      <w:topLinePunct/>
      <w:spacing w:line="288" w:lineRule="auto"/>
    </w:pPr>
    <w:rPr>
      <w:sz w:val="20"/>
      <w:szCs w:val="21"/>
    </w:rPr>
  </w:style>
  <w:style w:type="character" w:customStyle="1" w:styleId="90">
    <w:name w:val="节 Char"/>
    <w:link w:val="77"/>
    <w:qFormat/>
    <w:locked/>
    <w:uiPriority w:val="0"/>
    <w:rPr>
      <w:rFonts w:ascii="黑体" w:hAnsi="Arial" w:eastAsia="黑体" w:cs="Times New Roman"/>
      <w:bCs/>
      <w:kern w:val="2"/>
      <w:sz w:val="28"/>
      <w:szCs w:val="28"/>
    </w:rPr>
  </w:style>
  <w:style w:type="character" w:customStyle="1" w:styleId="91">
    <w:name w:val="列表段落 字符"/>
    <w:link w:val="46"/>
    <w:qFormat/>
    <w:locked/>
    <w:uiPriority w:val="34"/>
    <w:rPr>
      <w:rFonts w:ascii="Times New Roman" w:hAnsi="Times New Roman" w:eastAsia="宋体" w:cs="Times New Roman"/>
      <w:szCs w:val="24"/>
    </w:rPr>
  </w:style>
  <w:style w:type="character" w:customStyle="1" w:styleId="92">
    <w:name w:val="@他1"/>
    <w:basedOn w:val="40"/>
    <w:semiHidden/>
    <w:unhideWhenUsed/>
    <w:qFormat/>
    <w:uiPriority w:val="99"/>
    <w:rPr>
      <w:color w:val="2B579A"/>
      <w:shd w:val="clear" w:color="auto" w:fill="E6E6E6"/>
    </w:rPr>
  </w:style>
  <w:style w:type="character" w:customStyle="1" w:styleId="93">
    <w:name w:val="批注文字 Char"/>
    <w:qFormat/>
    <w:uiPriority w:val="0"/>
    <w:rPr>
      <w:rFonts w:ascii="Times New Roman" w:hAnsi="Times New Roman"/>
      <w:kern w:val="2"/>
      <w:sz w:val="21"/>
      <w:szCs w:val="24"/>
    </w:rPr>
  </w:style>
  <w:style w:type="character" w:customStyle="1" w:styleId="94">
    <w:name w:val="@他2"/>
    <w:basedOn w:val="40"/>
    <w:semiHidden/>
    <w:unhideWhenUsed/>
    <w:qFormat/>
    <w:uiPriority w:val="99"/>
    <w:rPr>
      <w:color w:val="2B579A"/>
      <w:shd w:val="clear" w:color="auto" w:fill="E6E6E6"/>
    </w:rPr>
  </w:style>
  <w:style w:type="character" w:customStyle="1" w:styleId="95">
    <w:name w:val="标题 Char1"/>
    <w:basedOn w:val="40"/>
    <w:qFormat/>
    <w:uiPriority w:val="0"/>
    <w:rPr>
      <w:rFonts w:ascii="Cambria" w:hAnsi="Cambria" w:eastAsia="宋体" w:cs="Times New Roman"/>
      <w:b/>
      <w:bCs/>
      <w:sz w:val="32"/>
      <w:szCs w:val="32"/>
    </w:rPr>
  </w:style>
  <w:style w:type="paragraph" w:customStyle="1" w:styleId="96">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TOC 标题3"/>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9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99">
    <w:name w:val="BodyText"/>
    <w:basedOn w:val="1"/>
    <w:next w:val="100"/>
    <w:qFormat/>
    <w:uiPriority w:val="0"/>
    <w:pPr>
      <w:textAlignment w:val="baseline"/>
    </w:pPr>
    <w:rPr>
      <w:rFonts w:ascii="仿宋_GB2312" w:eastAsia="仿宋_GB2312"/>
      <w:sz w:val="32"/>
    </w:rPr>
  </w:style>
  <w:style w:type="paragraph" w:customStyle="1" w:styleId="100">
    <w:name w:val="BodyTextIndent"/>
    <w:basedOn w:val="1"/>
    <w:qFormat/>
    <w:uiPriority w:val="0"/>
    <w:pPr>
      <w:spacing w:line="700" w:lineRule="exact"/>
      <w:ind w:left="960"/>
      <w:textAlignment w:val="baseline"/>
    </w:pPr>
    <w:rPr>
      <w:sz w:val="44"/>
    </w:rPr>
  </w:style>
  <w:style w:type="character" w:customStyle="1" w:styleId="10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ED39A-EF9B-408E-B5CD-089D43FA8BFC}">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17002</Words>
  <Characters>18137</Characters>
  <Lines>171</Lines>
  <Paragraphs>48</Paragraphs>
  <TotalTime>7</TotalTime>
  <ScaleCrop>false</ScaleCrop>
  <LinksUpToDate>false</LinksUpToDate>
  <CharactersWithSpaces>18961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2026-04-09T06:59:00Z</dcterms:created>
  <dcterms:modified xsi:type="dcterms:W3CDTF">2026-04-14T04:32:40Z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B795BD6651ED485481D1CF180C0DF5EE_13</vt:lpwstr>
  </property>
  <property fmtid="{D5CDD505-2E9C-101B-9397-08002B2CF9AE}" pid="4" name="KSOTemplateDocerSaveRecord">
    <vt:lpwstr>eyJoZGlkIjoiOWM0ZmNlMDc3NGE4YWMzNjhhYWU0OWIxYTVmMmJmY2EiLCJ1c2VySWQiOiI0ODIzMTY4MzcifQ==</vt:lpwstr>
  </property>
</Properties>
</file>